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4269B" w14:textId="77777777" w:rsidR="00192E57" w:rsidRDefault="409F8E2A" w:rsidP="00192E57">
      <w:pPr>
        <w:spacing w:after="0"/>
        <w:jc w:val="right"/>
        <w:rPr>
          <w:rFonts w:ascii="Verdana" w:hAnsi="Verdana"/>
        </w:rPr>
      </w:pPr>
      <w:r>
        <w:rPr>
          <w:noProof/>
        </w:rPr>
        <w:drawing>
          <wp:inline distT="0" distB="0" distL="0" distR="0" wp14:anchorId="7601234B" wp14:editId="7A76A1A0">
            <wp:extent cx="1143000" cy="590550"/>
            <wp:effectExtent l="0" t="0" r="0" b="0"/>
            <wp:docPr id="1681169152" name="Picture 1" descr="cid:image001.png@01D33384.127DA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143000" cy="590550"/>
                    </a:xfrm>
                    <a:prstGeom prst="rect">
                      <a:avLst/>
                    </a:prstGeom>
                  </pic:spPr>
                </pic:pic>
              </a:graphicData>
            </a:graphic>
          </wp:inline>
        </w:drawing>
      </w:r>
    </w:p>
    <w:p w14:paraId="5089B544" w14:textId="77777777" w:rsidR="00192E57" w:rsidRDefault="00192E57" w:rsidP="00192E57">
      <w:pPr>
        <w:spacing w:after="0"/>
        <w:rPr>
          <w:rFonts w:ascii="Verdana" w:hAnsi="Verdana"/>
        </w:rPr>
      </w:pPr>
    </w:p>
    <w:p w14:paraId="4DFBCAF1" w14:textId="77777777" w:rsidR="002E4085" w:rsidRPr="00FE32DF" w:rsidRDefault="00192E57" w:rsidP="00192E57">
      <w:pPr>
        <w:spacing w:after="0"/>
        <w:rPr>
          <w:rFonts w:ascii="Verdana" w:hAnsi="Verdana"/>
          <w:b/>
        </w:rPr>
      </w:pPr>
      <w:r w:rsidRPr="00FE32DF">
        <w:rPr>
          <w:rFonts w:ascii="Verdana" w:hAnsi="Verdana"/>
          <w:b/>
        </w:rPr>
        <w:t xml:space="preserve">Academic and Student Regulations – Emergency Regulations </w:t>
      </w:r>
    </w:p>
    <w:p w14:paraId="4FA56634" w14:textId="77777777" w:rsidR="00192E57" w:rsidRPr="00FE32DF" w:rsidRDefault="00192E57" w:rsidP="00192E57">
      <w:pPr>
        <w:spacing w:after="0"/>
        <w:rPr>
          <w:rFonts w:ascii="Verdana" w:hAnsi="Verdana"/>
          <w:b/>
        </w:rPr>
      </w:pPr>
      <w:r w:rsidRPr="00FE32DF">
        <w:rPr>
          <w:rFonts w:ascii="Verdana" w:hAnsi="Verdana"/>
          <w:b/>
        </w:rPr>
        <w:t>2019-20</w:t>
      </w:r>
    </w:p>
    <w:p w14:paraId="174EACE3" w14:textId="77777777" w:rsidR="00192E57" w:rsidRDefault="00192E57" w:rsidP="00192E57">
      <w:pPr>
        <w:spacing w:after="0"/>
        <w:rPr>
          <w:rFonts w:ascii="Verdana" w:hAnsi="Verdana"/>
        </w:rPr>
      </w:pPr>
    </w:p>
    <w:p w14:paraId="404B4BB1" w14:textId="16E62E62" w:rsidR="00192E57" w:rsidRDefault="00192E57" w:rsidP="00192E57">
      <w:pPr>
        <w:spacing w:after="0"/>
        <w:rPr>
          <w:rFonts w:ascii="Verdana" w:hAnsi="Verdana"/>
        </w:rPr>
      </w:pPr>
      <w:r>
        <w:rPr>
          <w:rFonts w:ascii="Verdana" w:hAnsi="Verdana"/>
        </w:rPr>
        <w:t xml:space="preserve">The University of Northampton has developed a set of </w:t>
      </w:r>
      <w:proofErr w:type="gramStart"/>
      <w:r>
        <w:rPr>
          <w:rFonts w:ascii="Verdana" w:hAnsi="Verdana"/>
        </w:rPr>
        <w:t>emergency</w:t>
      </w:r>
      <w:proofErr w:type="gramEnd"/>
      <w:r>
        <w:rPr>
          <w:rFonts w:ascii="Verdana" w:hAnsi="Verdana"/>
        </w:rPr>
        <w:t xml:space="preserve"> Academic and Student Regulations to respond to the unprecedented </w:t>
      </w:r>
      <w:r w:rsidR="00FB1A1B">
        <w:rPr>
          <w:rFonts w:ascii="Verdana" w:hAnsi="Verdana"/>
        </w:rPr>
        <w:t>situation</w:t>
      </w:r>
      <w:r>
        <w:rPr>
          <w:rFonts w:ascii="Verdana" w:hAnsi="Verdana"/>
        </w:rPr>
        <w:t xml:space="preserve"> posed by the Covid-19 pandemic.  These Regulations have been approved by the University’s Senate.</w:t>
      </w:r>
    </w:p>
    <w:p w14:paraId="23A3AD3A" w14:textId="77777777" w:rsidR="00192E57" w:rsidRDefault="00192E57" w:rsidP="00192E57">
      <w:pPr>
        <w:spacing w:after="0"/>
        <w:rPr>
          <w:rFonts w:ascii="Verdana" w:hAnsi="Verdana"/>
        </w:rPr>
      </w:pPr>
    </w:p>
    <w:p w14:paraId="5939616F" w14:textId="44DD4CA2" w:rsidR="00192E57" w:rsidRDefault="00192E57" w:rsidP="00192E57">
      <w:pPr>
        <w:spacing w:after="0"/>
        <w:rPr>
          <w:rFonts w:ascii="Verdana" w:hAnsi="Verdana"/>
        </w:rPr>
      </w:pPr>
      <w:r w:rsidRPr="2A78D7A4">
        <w:rPr>
          <w:rFonts w:ascii="Verdana" w:hAnsi="Verdana"/>
        </w:rPr>
        <w:t xml:space="preserve">Where there is no Emergency Regulation stated, the standard Academic and Student Regulations, and any Programme </w:t>
      </w:r>
      <w:proofErr w:type="gramStart"/>
      <w:r w:rsidRPr="2A78D7A4">
        <w:rPr>
          <w:rFonts w:ascii="Verdana" w:hAnsi="Verdana"/>
        </w:rPr>
        <w:t>specific</w:t>
      </w:r>
      <w:proofErr w:type="gramEnd"/>
      <w:r w:rsidRPr="2A78D7A4">
        <w:rPr>
          <w:rFonts w:ascii="Verdana" w:hAnsi="Verdana"/>
        </w:rPr>
        <w:t xml:space="preserve"> </w:t>
      </w:r>
      <w:bookmarkStart w:id="0" w:name="_GoBack"/>
      <w:r w:rsidRPr="2A78D7A4">
        <w:rPr>
          <w:rFonts w:ascii="Verdana" w:hAnsi="Verdana"/>
        </w:rPr>
        <w:t xml:space="preserve">Supplementary </w:t>
      </w:r>
      <w:bookmarkEnd w:id="0"/>
      <w:r w:rsidRPr="2A78D7A4">
        <w:rPr>
          <w:rFonts w:ascii="Verdana" w:hAnsi="Verdana"/>
        </w:rPr>
        <w:t xml:space="preserve">Regulations, continue to apply.  </w:t>
      </w:r>
    </w:p>
    <w:p w14:paraId="78D1C1A2" w14:textId="21FE5B70" w:rsidR="002C1F38" w:rsidRDefault="002C1F38" w:rsidP="00192E57">
      <w:pPr>
        <w:spacing w:after="0"/>
        <w:rPr>
          <w:rFonts w:ascii="Verdana" w:hAnsi="Verdana"/>
        </w:rPr>
      </w:pPr>
    </w:p>
    <w:p w14:paraId="3606ADA2" w14:textId="560A72B2" w:rsidR="002C1F38" w:rsidRDefault="002C1F38" w:rsidP="00192E57">
      <w:pPr>
        <w:spacing w:after="0"/>
        <w:rPr>
          <w:rFonts w:ascii="Verdana" w:hAnsi="Verdana"/>
        </w:rPr>
      </w:pPr>
      <w:r>
        <w:rPr>
          <w:rFonts w:ascii="Verdana" w:hAnsi="Verdana"/>
        </w:rPr>
        <w:t xml:space="preserve">As an interim measure, the University’ Critical Incident Team approved a </w:t>
      </w:r>
      <w:proofErr w:type="gramStart"/>
      <w:r>
        <w:rPr>
          <w:rFonts w:ascii="Verdana" w:hAnsi="Verdana"/>
        </w:rPr>
        <w:t>14 day</w:t>
      </w:r>
      <w:proofErr w:type="gramEnd"/>
      <w:r>
        <w:rPr>
          <w:rFonts w:ascii="Verdana" w:hAnsi="Verdana"/>
        </w:rPr>
        <w:t xml:space="preserve"> extension on all assessment types that are usually eligible for an extension, in this instance including any resubmissions, that were due for submission between 24 March and 3 April 2020.</w:t>
      </w:r>
    </w:p>
    <w:p w14:paraId="095BD796" w14:textId="77777777" w:rsidR="00192E57" w:rsidRDefault="00192E57" w:rsidP="00192E57">
      <w:pPr>
        <w:spacing w:after="0"/>
        <w:rPr>
          <w:rFonts w:ascii="Verdana" w:hAnsi="Verdana"/>
        </w:rPr>
      </w:pPr>
    </w:p>
    <w:p w14:paraId="236A5D6D" w14:textId="6F5B825E" w:rsidR="00221DD4" w:rsidRDefault="00192E57" w:rsidP="00192E57">
      <w:pPr>
        <w:spacing w:after="0"/>
        <w:rPr>
          <w:rFonts w:ascii="Verdana" w:hAnsi="Verdana"/>
        </w:rPr>
      </w:pPr>
      <w:r>
        <w:rPr>
          <w:rFonts w:ascii="Verdana" w:hAnsi="Verdana"/>
        </w:rPr>
        <w:t>These Emergency Regulations were enacted</w:t>
      </w:r>
      <w:r w:rsidR="00221DD4">
        <w:rPr>
          <w:rFonts w:ascii="Verdana" w:hAnsi="Verdana"/>
        </w:rPr>
        <w:t xml:space="preserve"> by Senate</w:t>
      </w:r>
      <w:r w:rsidR="004F1CFB">
        <w:rPr>
          <w:rFonts w:ascii="Verdana" w:hAnsi="Verdana"/>
        </w:rPr>
        <w:t xml:space="preserve"> on 1 April 2020 </w:t>
      </w:r>
      <w:r>
        <w:rPr>
          <w:rFonts w:ascii="Verdana" w:hAnsi="Verdana"/>
        </w:rPr>
        <w:t xml:space="preserve">and apply until they are </w:t>
      </w:r>
      <w:r w:rsidR="00221DD4">
        <w:rPr>
          <w:rFonts w:ascii="Verdana" w:hAnsi="Verdana"/>
        </w:rPr>
        <w:t>revoked by Senate.</w:t>
      </w:r>
    </w:p>
    <w:p w14:paraId="428EE076" w14:textId="77777777" w:rsidR="00221DD4" w:rsidRDefault="00221DD4" w:rsidP="00192E57">
      <w:pPr>
        <w:spacing w:after="0"/>
        <w:rPr>
          <w:rFonts w:ascii="Verdana" w:hAnsi="Verdana"/>
        </w:rPr>
      </w:pPr>
    </w:p>
    <w:p w14:paraId="7E45DBBD" w14:textId="77777777" w:rsidR="00221DD4" w:rsidRPr="00221DD4" w:rsidRDefault="00221DD4" w:rsidP="2A78D7A4">
      <w:pPr>
        <w:spacing w:after="0"/>
        <w:rPr>
          <w:rFonts w:ascii="Verdana" w:hAnsi="Verdana"/>
          <w:b/>
          <w:bCs/>
        </w:rPr>
      </w:pPr>
      <w:r w:rsidRPr="2A78D7A4">
        <w:rPr>
          <w:rFonts w:ascii="Verdana" w:hAnsi="Verdana"/>
          <w:b/>
          <w:bCs/>
        </w:rPr>
        <w:t>Principles</w:t>
      </w:r>
    </w:p>
    <w:p w14:paraId="590BEFCC" w14:textId="77777777" w:rsidR="00221DD4" w:rsidRDefault="00221DD4" w:rsidP="00192E57">
      <w:pPr>
        <w:spacing w:after="0"/>
        <w:rPr>
          <w:rFonts w:ascii="Verdana" w:hAnsi="Verdana"/>
        </w:rPr>
      </w:pPr>
    </w:p>
    <w:p w14:paraId="39FB54FA" w14:textId="77777777" w:rsidR="00221DD4" w:rsidRDefault="00221DD4" w:rsidP="00192E57">
      <w:pPr>
        <w:spacing w:after="0"/>
        <w:rPr>
          <w:rFonts w:ascii="Verdana" w:hAnsi="Verdana"/>
        </w:rPr>
      </w:pPr>
      <w:r>
        <w:rPr>
          <w:rFonts w:ascii="Verdana" w:hAnsi="Verdana"/>
        </w:rPr>
        <w:t>These Emergency Regulations are predicated on the following principles:</w:t>
      </w:r>
    </w:p>
    <w:p w14:paraId="79F7DBED" w14:textId="77777777" w:rsidR="00221DD4" w:rsidRDefault="00221DD4" w:rsidP="00192E57">
      <w:pPr>
        <w:spacing w:after="0"/>
        <w:rPr>
          <w:rFonts w:ascii="Verdana" w:hAnsi="Verdana"/>
        </w:rPr>
      </w:pPr>
    </w:p>
    <w:p w14:paraId="34BCFC86" w14:textId="1C38E850" w:rsidR="00221DD4" w:rsidRDefault="00221DD4" w:rsidP="00221DD4">
      <w:pPr>
        <w:pStyle w:val="ListParagraph"/>
        <w:numPr>
          <w:ilvl w:val="0"/>
          <w:numId w:val="1"/>
        </w:numPr>
        <w:spacing w:after="0"/>
        <w:rPr>
          <w:rFonts w:ascii="Verdana" w:hAnsi="Verdana"/>
        </w:rPr>
      </w:pPr>
      <w:r w:rsidRPr="1EA863F9">
        <w:rPr>
          <w:rFonts w:ascii="Verdana" w:hAnsi="Verdana"/>
        </w:rPr>
        <w:t xml:space="preserve">Students are not </w:t>
      </w:r>
      <w:r w:rsidR="00FE32DF" w:rsidRPr="1EA863F9">
        <w:rPr>
          <w:rFonts w:ascii="Verdana" w:hAnsi="Verdana"/>
        </w:rPr>
        <w:t xml:space="preserve">academically </w:t>
      </w:r>
      <w:r w:rsidR="00751D60">
        <w:rPr>
          <w:rFonts w:ascii="Verdana" w:hAnsi="Verdana"/>
        </w:rPr>
        <w:t>disadvantaged</w:t>
      </w:r>
      <w:r w:rsidRPr="1EA863F9">
        <w:rPr>
          <w:rFonts w:ascii="Verdana" w:hAnsi="Verdana"/>
        </w:rPr>
        <w:t xml:space="preserve"> because of the impact of the Covid-19 pandemic.</w:t>
      </w:r>
      <w:r w:rsidR="00680AD9">
        <w:rPr>
          <w:rFonts w:ascii="Verdana" w:hAnsi="Verdana"/>
        </w:rPr>
        <w:t xml:space="preserve"> i.e. the University adopts a ‘no detriment’ approach to student outcomes during this period.</w:t>
      </w:r>
    </w:p>
    <w:p w14:paraId="51306A09" w14:textId="77777777" w:rsidR="00221DD4" w:rsidRDefault="00221DD4" w:rsidP="00221DD4">
      <w:pPr>
        <w:pStyle w:val="ListParagraph"/>
        <w:spacing w:after="0"/>
        <w:ind w:left="360"/>
        <w:rPr>
          <w:rFonts w:ascii="Verdana" w:hAnsi="Verdana"/>
        </w:rPr>
      </w:pPr>
    </w:p>
    <w:p w14:paraId="4960AE71" w14:textId="02F3AC25" w:rsidR="00221DD4" w:rsidRDefault="00221DD4" w:rsidP="00221DD4">
      <w:pPr>
        <w:pStyle w:val="ListParagraph"/>
        <w:numPr>
          <w:ilvl w:val="0"/>
          <w:numId w:val="1"/>
        </w:numPr>
        <w:spacing w:after="0"/>
        <w:rPr>
          <w:rFonts w:ascii="Verdana" w:hAnsi="Verdana"/>
        </w:rPr>
      </w:pPr>
      <w:r w:rsidRPr="1EA863F9">
        <w:rPr>
          <w:rFonts w:ascii="Verdana" w:hAnsi="Verdana"/>
        </w:rPr>
        <w:t xml:space="preserve">Students are supported to complete their learning and assessment </w:t>
      </w:r>
      <w:r w:rsidR="00FE32DF" w:rsidRPr="1EA863F9">
        <w:rPr>
          <w:rFonts w:ascii="Verdana" w:hAnsi="Verdana"/>
        </w:rPr>
        <w:t xml:space="preserve">for this academic year </w:t>
      </w:r>
      <w:r w:rsidRPr="1EA863F9">
        <w:rPr>
          <w:rFonts w:ascii="Verdana" w:hAnsi="Verdana"/>
        </w:rPr>
        <w:t>where</w:t>
      </w:r>
      <w:r w:rsidR="00751D60">
        <w:rPr>
          <w:rFonts w:ascii="Verdana" w:hAnsi="Verdana"/>
        </w:rPr>
        <w:t xml:space="preserve"> the nature of the subject matter makes it</w:t>
      </w:r>
      <w:r w:rsidRPr="1EA863F9">
        <w:rPr>
          <w:rFonts w:ascii="Verdana" w:hAnsi="Verdana"/>
        </w:rPr>
        <w:t xml:space="preserve"> possible to do so.</w:t>
      </w:r>
    </w:p>
    <w:p w14:paraId="1D10F05B" w14:textId="77777777" w:rsidR="00C33832" w:rsidRPr="00C33832" w:rsidRDefault="00C33832" w:rsidP="00C33832">
      <w:pPr>
        <w:pStyle w:val="ListParagraph"/>
        <w:rPr>
          <w:rFonts w:ascii="Verdana" w:hAnsi="Verdana"/>
        </w:rPr>
      </w:pPr>
    </w:p>
    <w:p w14:paraId="2DE19B97" w14:textId="4623F6C7" w:rsidR="00C33832" w:rsidRDefault="00A251C3" w:rsidP="00221DD4">
      <w:pPr>
        <w:pStyle w:val="ListParagraph"/>
        <w:numPr>
          <w:ilvl w:val="0"/>
          <w:numId w:val="1"/>
        </w:numPr>
        <w:spacing w:after="0"/>
        <w:rPr>
          <w:rFonts w:ascii="Verdana" w:hAnsi="Verdana"/>
        </w:rPr>
      </w:pPr>
      <w:r>
        <w:rPr>
          <w:rFonts w:ascii="Verdana" w:hAnsi="Verdana"/>
        </w:rPr>
        <w:t>For students studying at undergraduate level, that they</w:t>
      </w:r>
      <w:r w:rsidR="00C33832" w:rsidRPr="2A78D7A4">
        <w:rPr>
          <w:rFonts w:ascii="Verdana" w:hAnsi="Verdana"/>
        </w:rPr>
        <w:t xml:space="preserve"> </w:t>
      </w:r>
      <w:proofErr w:type="gramStart"/>
      <w:r w:rsidR="00C33832" w:rsidRPr="2A78D7A4">
        <w:rPr>
          <w:rFonts w:ascii="Verdana" w:hAnsi="Verdana"/>
        </w:rPr>
        <w:t xml:space="preserve">are </w:t>
      </w:r>
      <w:r w:rsidR="00751D60" w:rsidRPr="2A78D7A4">
        <w:rPr>
          <w:rFonts w:ascii="Verdana" w:hAnsi="Verdana"/>
        </w:rPr>
        <w:t>able</w:t>
      </w:r>
      <w:r w:rsidR="00C33832" w:rsidRPr="2A78D7A4">
        <w:rPr>
          <w:rFonts w:ascii="Verdana" w:hAnsi="Verdana"/>
        </w:rPr>
        <w:t xml:space="preserve"> to</w:t>
      </w:r>
      <w:proofErr w:type="gramEnd"/>
      <w:r w:rsidR="00C33832" w:rsidRPr="2A78D7A4">
        <w:rPr>
          <w:rFonts w:ascii="Verdana" w:hAnsi="Verdana"/>
        </w:rPr>
        <w:t xml:space="preserve"> progress </w:t>
      </w:r>
      <w:r w:rsidR="00C33832" w:rsidRPr="2F1A1475">
        <w:rPr>
          <w:rFonts w:ascii="Verdana" w:hAnsi="Verdana"/>
          <w:i/>
          <w:iCs/>
        </w:rPr>
        <w:t>subject to completion</w:t>
      </w:r>
      <w:r w:rsidR="00C33832" w:rsidRPr="2A78D7A4">
        <w:rPr>
          <w:rFonts w:ascii="Verdana" w:hAnsi="Verdana"/>
        </w:rPr>
        <w:t xml:space="preserve"> where </w:t>
      </w:r>
      <w:r w:rsidR="00751D60" w:rsidRPr="2A78D7A4">
        <w:rPr>
          <w:rFonts w:ascii="Verdana" w:hAnsi="Verdana"/>
        </w:rPr>
        <w:t>the nature of the subject matter means that it</w:t>
      </w:r>
      <w:r w:rsidR="00C33832" w:rsidRPr="2A78D7A4">
        <w:rPr>
          <w:rFonts w:ascii="Verdana" w:hAnsi="Verdana"/>
        </w:rPr>
        <w:t xml:space="preserve"> is not possible for their learning and assessment</w:t>
      </w:r>
      <w:r w:rsidR="00FE32DF" w:rsidRPr="2A78D7A4">
        <w:rPr>
          <w:rFonts w:ascii="Verdana" w:hAnsi="Verdana"/>
        </w:rPr>
        <w:t xml:space="preserve"> for this academic year</w:t>
      </w:r>
      <w:r w:rsidR="00C33832" w:rsidRPr="2A78D7A4">
        <w:rPr>
          <w:rFonts w:ascii="Verdana" w:hAnsi="Verdana"/>
        </w:rPr>
        <w:t xml:space="preserve"> to be completed.</w:t>
      </w:r>
      <w:r w:rsidR="00751D60" w:rsidRPr="2A78D7A4">
        <w:rPr>
          <w:rFonts w:ascii="Verdana" w:hAnsi="Verdana"/>
        </w:rPr>
        <w:t xml:space="preserve">  Post-emergency deadlines will be established for retrieval of outstanding work</w:t>
      </w:r>
      <w:r w:rsidR="002C1F38">
        <w:rPr>
          <w:rStyle w:val="FootnoteReference"/>
          <w:rFonts w:ascii="Verdana" w:hAnsi="Verdana"/>
        </w:rPr>
        <w:footnoteReference w:id="2"/>
      </w:r>
      <w:r w:rsidR="00751D60" w:rsidRPr="2A78D7A4">
        <w:rPr>
          <w:rFonts w:ascii="Verdana" w:hAnsi="Verdana"/>
        </w:rPr>
        <w:t>.</w:t>
      </w:r>
    </w:p>
    <w:p w14:paraId="431AC31A" w14:textId="77777777" w:rsidR="00221DD4" w:rsidRPr="00221DD4" w:rsidRDefault="00221DD4" w:rsidP="00221DD4">
      <w:pPr>
        <w:pStyle w:val="ListParagraph"/>
        <w:rPr>
          <w:rFonts w:ascii="Verdana" w:hAnsi="Verdana"/>
        </w:rPr>
      </w:pPr>
    </w:p>
    <w:p w14:paraId="74BB8EB7" w14:textId="68787293" w:rsidR="00221DD4" w:rsidRDefault="03F7C98D" w:rsidP="36CD3B22">
      <w:pPr>
        <w:pStyle w:val="ListParagraph"/>
        <w:numPr>
          <w:ilvl w:val="0"/>
          <w:numId w:val="1"/>
        </w:numPr>
        <w:spacing w:after="0"/>
        <w:rPr>
          <w:rFonts w:ascii="Verdana" w:hAnsi="Verdana"/>
        </w:rPr>
      </w:pPr>
      <w:r w:rsidRPr="36CD3B22">
        <w:rPr>
          <w:rFonts w:ascii="Verdana" w:hAnsi="Verdana"/>
        </w:rPr>
        <w:t>Assessment against and achievement of Module and Programme Learning Outcomes, including any Learning Outcomes</w:t>
      </w:r>
      <w:r w:rsidR="2C9DC9D3" w:rsidRPr="36CD3B22">
        <w:rPr>
          <w:rFonts w:ascii="Verdana" w:hAnsi="Verdana"/>
        </w:rPr>
        <w:t xml:space="preserve"> and associated supplementary</w:t>
      </w:r>
      <w:r w:rsidR="581BBBE3" w:rsidRPr="36CD3B22">
        <w:rPr>
          <w:rFonts w:ascii="Verdana" w:hAnsi="Verdana"/>
        </w:rPr>
        <w:t xml:space="preserve"> </w:t>
      </w:r>
      <w:r w:rsidR="2C9DC9D3" w:rsidRPr="36CD3B22">
        <w:rPr>
          <w:rFonts w:ascii="Verdana" w:hAnsi="Verdana"/>
        </w:rPr>
        <w:lastRenderedPageBreak/>
        <w:t>regulations</w:t>
      </w:r>
      <w:r w:rsidRPr="36CD3B22">
        <w:rPr>
          <w:rFonts w:ascii="Verdana" w:hAnsi="Verdana"/>
        </w:rPr>
        <w:t xml:space="preserve"> mandated by Professional, Regulatory or Statutory Bodies, remains </w:t>
      </w:r>
      <w:r w:rsidR="0A60F375" w:rsidRPr="36CD3B22">
        <w:rPr>
          <w:rFonts w:ascii="Verdana" w:hAnsi="Verdana"/>
        </w:rPr>
        <w:t xml:space="preserve">the cornerstone of the University’s </w:t>
      </w:r>
      <w:r w:rsidR="2C9DC9D3" w:rsidRPr="36CD3B22">
        <w:rPr>
          <w:rFonts w:ascii="Verdana" w:hAnsi="Verdana"/>
        </w:rPr>
        <w:t>approach to the award of credit</w:t>
      </w:r>
      <w:r w:rsidRPr="36CD3B22">
        <w:rPr>
          <w:rFonts w:ascii="Verdana" w:hAnsi="Verdana"/>
        </w:rPr>
        <w:t>.</w:t>
      </w:r>
    </w:p>
    <w:p w14:paraId="5A5EED41" w14:textId="77777777" w:rsidR="00221DD4" w:rsidRPr="00221DD4" w:rsidRDefault="00221DD4" w:rsidP="00221DD4">
      <w:pPr>
        <w:pStyle w:val="ListParagraph"/>
        <w:rPr>
          <w:rFonts w:ascii="Verdana" w:hAnsi="Verdana"/>
        </w:rPr>
      </w:pPr>
    </w:p>
    <w:p w14:paraId="06C0AA50" w14:textId="2BDA82BA" w:rsidR="00221DD4" w:rsidRDefault="03F7C98D" w:rsidP="00221DD4">
      <w:pPr>
        <w:pStyle w:val="ListParagraph"/>
        <w:numPr>
          <w:ilvl w:val="0"/>
          <w:numId w:val="1"/>
        </w:numPr>
        <w:spacing w:after="0"/>
        <w:rPr>
          <w:rFonts w:ascii="Verdana" w:hAnsi="Verdana"/>
        </w:rPr>
      </w:pPr>
      <w:r w:rsidRPr="36CD3B22">
        <w:rPr>
          <w:rFonts w:ascii="Verdana" w:hAnsi="Verdana"/>
        </w:rPr>
        <w:t xml:space="preserve">Maintenance of institutional and sector standards </w:t>
      </w:r>
      <w:r w:rsidR="0A60F375" w:rsidRPr="36CD3B22">
        <w:rPr>
          <w:rFonts w:ascii="Verdana" w:hAnsi="Verdana"/>
        </w:rPr>
        <w:t>is paramount</w:t>
      </w:r>
      <w:r w:rsidRPr="36CD3B22">
        <w:rPr>
          <w:rFonts w:ascii="Verdana" w:hAnsi="Verdana"/>
        </w:rPr>
        <w:t>.</w:t>
      </w:r>
    </w:p>
    <w:p w14:paraId="28526E6B" w14:textId="77777777" w:rsidR="00221DD4" w:rsidRPr="00221DD4" w:rsidRDefault="00221DD4" w:rsidP="00221DD4">
      <w:pPr>
        <w:pStyle w:val="ListParagraph"/>
        <w:spacing w:after="0"/>
        <w:rPr>
          <w:rFonts w:ascii="Verdana" w:hAnsi="Verdana"/>
        </w:rPr>
      </w:pPr>
    </w:p>
    <w:p w14:paraId="7D62D0EA" w14:textId="4A87339E" w:rsidR="00221DD4" w:rsidRPr="007F0BF0" w:rsidRDefault="00221DD4" w:rsidP="2A78D7A4">
      <w:pPr>
        <w:spacing w:after="0"/>
        <w:rPr>
          <w:rFonts w:ascii="Verdana" w:hAnsi="Verdana"/>
          <w:b/>
          <w:bCs/>
        </w:rPr>
      </w:pPr>
      <w:r w:rsidRPr="2A78D7A4">
        <w:rPr>
          <w:rFonts w:ascii="Verdana" w:hAnsi="Verdana"/>
          <w:b/>
          <w:bCs/>
        </w:rPr>
        <w:t xml:space="preserve">Emergency </w:t>
      </w:r>
      <w:r w:rsidR="00F45C03" w:rsidRPr="2A78D7A4">
        <w:rPr>
          <w:rFonts w:ascii="Verdana" w:hAnsi="Verdana"/>
          <w:b/>
          <w:bCs/>
        </w:rPr>
        <w:t xml:space="preserve">Academic and Student </w:t>
      </w:r>
      <w:r w:rsidRPr="2A78D7A4">
        <w:rPr>
          <w:rFonts w:ascii="Verdana" w:hAnsi="Verdana"/>
          <w:b/>
          <w:bCs/>
        </w:rPr>
        <w:t>Regulations</w:t>
      </w:r>
      <w:r w:rsidR="006B2356">
        <w:rPr>
          <w:rStyle w:val="FootnoteReference"/>
          <w:rFonts w:ascii="Verdana" w:hAnsi="Verdana"/>
          <w:b/>
          <w:bCs/>
        </w:rPr>
        <w:footnoteReference w:id="3"/>
      </w:r>
    </w:p>
    <w:p w14:paraId="52F59D3D" w14:textId="77777777" w:rsidR="00221DD4" w:rsidRDefault="00221DD4" w:rsidP="00221DD4">
      <w:pPr>
        <w:spacing w:after="0"/>
        <w:rPr>
          <w:rFonts w:ascii="Verdana" w:hAnsi="Verdana"/>
        </w:rPr>
      </w:pPr>
    </w:p>
    <w:p w14:paraId="339E0D4B" w14:textId="57353168" w:rsidR="00C33832" w:rsidRPr="007F0BF0" w:rsidRDefault="00A251C3" w:rsidP="00221DD4">
      <w:pPr>
        <w:spacing w:after="0"/>
        <w:rPr>
          <w:rFonts w:ascii="Verdana" w:hAnsi="Verdana"/>
          <w:u w:val="single"/>
        </w:rPr>
      </w:pPr>
      <w:r>
        <w:rPr>
          <w:rFonts w:ascii="Verdana" w:hAnsi="Verdana"/>
          <w:u w:val="single"/>
        </w:rPr>
        <w:t>For Levels 3-7</w:t>
      </w:r>
    </w:p>
    <w:p w14:paraId="5170D1CF" w14:textId="77777777" w:rsidR="00C33832" w:rsidRDefault="00C33832" w:rsidP="00221DD4">
      <w:pPr>
        <w:spacing w:after="0"/>
        <w:rPr>
          <w:rFonts w:ascii="Verdana" w:hAnsi="Verdana"/>
        </w:rPr>
      </w:pPr>
    </w:p>
    <w:tbl>
      <w:tblPr>
        <w:tblStyle w:val="TableGrid"/>
        <w:tblW w:w="0" w:type="auto"/>
        <w:tblLook w:val="04A0" w:firstRow="1" w:lastRow="0" w:firstColumn="1" w:lastColumn="0" w:noHBand="0" w:noVBand="1"/>
      </w:tblPr>
      <w:tblGrid>
        <w:gridCol w:w="560"/>
        <w:gridCol w:w="1587"/>
        <w:gridCol w:w="3235"/>
        <w:gridCol w:w="3634"/>
      </w:tblGrid>
      <w:tr w:rsidR="00A251C3" w14:paraId="65EFB0B1" w14:textId="3F054DE3" w:rsidTr="0019765E">
        <w:trPr>
          <w:tblHeader/>
        </w:trPr>
        <w:tc>
          <w:tcPr>
            <w:tcW w:w="560" w:type="dxa"/>
          </w:tcPr>
          <w:p w14:paraId="474137C0" w14:textId="77777777" w:rsidR="00577670" w:rsidRPr="00221DD4" w:rsidRDefault="00577670" w:rsidP="00221DD4">
            <w:pPr>
              <w:rPr>
                <w:rFonts w:ascii="Verdana" w:hAnsi="Verdana"/>
                <w:b/>
              </w:rPr>
            </w:pPr>
          </w:p>
        </w:tc>
        <w:tc>
          <w:tcPr>
            <w:tcW w:w="1587" w:type="dxa"/>
          </w:tcPr>
          <w:p w14:paraId="702DCAB0" w14:textId="6999AAFA" w:rsidR="00577670" w:rsidRPr="00221DD4" w:rsidRDefault="00577670" w:rsidP="00221DD4">
            <w:pPr>
              <w:rPr>
                <w:rFonts w:ascii="Verdana" w:hAnsi="Verdana"/>
                <w:b/>
              </w:rPr>
            </w:pPr>
            <w:r w:rsidRPr="00221DD4">
              <w:rPr>
                <w:rFonts w:ascii="Verdana" w:hAnsi="Verdana"/>
                <w:b/>
              </w:rPr>
              <w:t>Current regulation</w:t>
            </w:r>
            <w:r>
              <w:rPr>
                <w:rStyle w:val="FootnoteReference"/>
                <w:rFonts w:ascii="Verdana" w:hAnsi="Verdana"/>
                <w:b/>
              </w:rPr>
              <w:footnoteReference w:id="4"/>
            </w:r>
          </w:p>
        </w:tc>
        <w:tc>
          <w:tcPr>
            <w:tcW w:w="3235" w:type="dxa"/>
          </w:tcPr>
          <w:p w14:paraId="0DDABA71" w14:textId="77777777" w:rsidR="00577670" w:rsidRDefault="00577670" w:rsidP="1EA863F9">
            <w:pPr>
              <w:rPr>
                <w:rFonts w:ascii="Verdana" w:hAnsi="Verdana"/>
                <w:b/>
                <w:bCs/>
              </w:rPr>
            </w:pPr>
            <w:r w:rsidRPr="1EA863F9">
              <w:rPr>
                <w:rFonts w:ascii="Verdana" w:hAnsi="Verdana"/>
                <w:b/>
                <w:bCs/>
              </w:rPr>
              <w:t xml:space="preserve">Emergency Regulation </w:t>
            </w:r>
          </w:p>
          <w:p w14:paraId="27C5AFA2" w14:textId="7AF115B5" w:rsidR="00577670" w:rsidRPr="00221DD4" w:rsidRDefault="00577670" w:rsidP="00221DD4">
            <w:pPr>
              <w:rPr>
                <w:rFonts w:ascii="Verdana" w:hAnsi="Verdana"/>
                <w:b/>
              </w:rPr>
            </w:pPr>
          </w:p>
        </w:tc>
        <w:tc>
          <w:tcPr>
            <w:tcW w:w="3634" w:type="dxa"/>
          </w:tcPr>
          <w:p w14:paraId="4989DA43" w14:textId="1FE73B21" w:rsidR="00577670" w:rsidRPr="1EA863F9" w:rsidRDefault="00577670" w:rsidP="1EA863F9">
            <w:pPr>
              <w:rPr>
                <w:rFonts w:ascii="Verdana" w:hAnsi="Verdana"/>
                <w:b/>
                <w:bCs/>
              </w:rPr>
            </w:pPr>
            <w:r>
              <w:rPr>
                <w:rFonts w:ascii="Verdana" w:hAnsi="Verdana"/>
                <w:b/>
                <w:bCs/>
              </w:rPr>
              <w:t>Rationale for change</w:t>
            </w:r>
          </w:p>
        </w:tc>
      </w:tr>
      <w:tr w:rsidR="00A251C3" w14:paraId="27D09272" w14:textId="0CC6F515" w:rsidTr="0019765E">
        <w:tc>
          <w:tcPr>
            <w:tcW w:w="560" w:type="dxa"/>
          </w:tcPr>
          <w:p w14:paraId="4D96F953" w14:textId="67ABF7CD" w:rsidR="00577670" w:rsidRDefault="00577670" w:rsidP="00221DD4">
            <w:pPr>
              <w:rPr>
                <w:rFonts w:ascii="Verdana" w:hAnsi="Verdana"/>
              </w:rPr>
            </w:pPr>
            <w:r>
              <w:rPr>
                <w:rFonts w:ascii="Verdana" w:hAnsi="Verdana"/>
              </w:rPr>
              <w:t>1</w:t>
            </w:r>
          </w:p>
        </w:tc>
        <w:tc>
          <w:tcPr>
            <w:tcW w:w="1587" w:type="dxa"/>
          </w:tcPr>
          <w:p w14:paraId="212DAC28" w14:textId="3EE0B545" w:rsidR="00577670" w:rsidRDefault="00577670" w:rsidP="00221DD4">
            <w:pPr>
              <w:rPr>
                <w:rFonts w:ascii="Verdana" w:hAnsi="Verdana"/>
              </w:rPr>
            </w:pPr>
            <w:r>
              <w:rPr>
                <w:rFonts w:ascii="Verdana" w:hAnsi="Verdana"/>
              </w:rPr>
              <w:t>3.7.11</w:t>
            </w:r>
          </w:p>
          <w:p w14:paraId="375A6426" w14:textId="1655A4E6" w:rsidR="00577670" w:rsidRDefault="00577670" w:rsidP="00221DD4">
            <w:pPr>
              <w:rPr>
                <w:rFonts w:ascii="Verdana" w:hAnsi="Verdana"/>
              </w:rPr>
            </w:pPr>
            <w:r>
              <w:rPr>
                <w:rFonts w:ascii="Verdana" w:hAnsi="Verdana"/>
              </w:rPr>
              <w:t>(p41)</w:t>
            </w:r>
          </w:p>
        </w:tc>
        <w:tc>
          <w:tcPr>
            <w:tcW w:w="3235" w:type="dxa"/>
          </w:tcPr>
          <w:p w14:paraId="21C0C439" w14:textId="7914BB86" w:rsidR="00577670" w:rsidRDefault="4F0A91CF" w:rsidP="00221DD4">
            <w:pPr>
              <w:rPr>
                <w:rFonts w:ascii="Verdana" w:hAnsi="Verdana"/>
              </w:rPr>
            </w:pPr>
            <w:r w:rsidRPr="2F1A1475">
              <w:rPr>
                <w:rFonts w:ascii="Verdana" w:hAnsi="Verdana"/>
              </w:rPr>
              <w:t>Suspension of this Regulation [Removal of resit rights for students with module G grades at the first Assessment Board]</w:t>
            </w:r>
          </w:p>
          <w:p w14:paraId="7B347DF1" w14:textId="77777777" w:rsidR="00577670" w:rsidRDefault="00577670" w:rsidP="00221DD4">
            <w:pPr>
              <w:rPr>
                <w:rFonts w:ascii="Verdana" w:hAnsi="Verdana"/>
              </w:rPr>
            </w:pPr>
          </w:p>
        </w:tc>
        <w:tc>
          <w:tcPr>
            <w:tcW w:w="3634" w:type="dxa"/>
          </w:tcPr>
          <w:p w14:paraId="39D4FE0F" w14:textId="77777777" w:rsidR="00577670" w:rsidRDefault="00577670" w:rsidP="00F46030">
            <w:pPr>
              <w:rPr>
                <w:rFonts w:ascii="Verdana" w:hAnsi="Verdana"/>
              </w:rPr>
            </w:pPr>
            <w:r>
              <w:rPr>
                <w:rFonts w:ascii="Verdana" w:hAnsi="Verdana"/>
              </w:rPr>
              <w:t>As mitigating circumstances processes will be suspended temporarily, it cannot be assumed that a non-submission profile at the first Assessment Board demonstrates lack of student engagement.</w:t>
            </w:r>
          </w:p>
          <w:p w14:paraId="47B4DA8E" w14:textId="31703CB0" w:rsidR="00577670" w:rsidRDefault="00577670" w:rsidP="00F46030">
            <w:pPr>
              <w:rPr>
                <w:rFonts w:ascii="Verdana" w:hAnsi="Verdana"/>
              </w:rPr>
            </w:pPr>
          </w:p>
        </w:tc>
      </w:tr>
      <w:tr w:rsidR="00A251C3" w14:paraId="65B98707" w14:textId="23257759" w:rsidTr="0019765E">
        <w:tc>
          <w:tcPr>
            <w:tcW w:w="560" w:type="dxa"/>
          </w:tcPr>
          <w:p w14:paraId="35176EA3" w14:textId="4B4E5BEC" w:rsidR="00577670" w:rsidRDefault="00577670" w:rsidP="00221DD4">
            <w:pPr>
              <w:rPr>
                <w:rFonts w:ascii="Verdana" w:hAnsi="Verdana"/>
              </w:rPr>
            </w:pPr>
            <w:r>
              <w:rPr>
                <w:rFonts w:ascii="Verdana" w:hAnsi="Verdana"/>
              </w:rPr>
              <w:t>2</w:t>
            </w:r>
          </w:p>
        </w:tc>
        <w:tc>
          <w:tcPr>
            <w:tcW w:w="1587" w:type="dxa"/>
          </w:tcPr>
          <w:p w14:paraId="14367791" w14:textId="4FD83934" w:rsidR="00577670" w:rsidRDefault="00577670" w:rsidP="00221DD4">
            <w:pPr>
              <w:rPr>
                <w:rFonts w:ascii="Verdana" w:hAnsi="Verdana"/>
              </w:rPr>
            </w:pPr>
            <w:r>
              <w:rPr>
                <w:rFonts w:ascii="Verdana" w:hAnsi="Verdana"/>
              </w:rPr>
              <w:t>3.5.11</w:t>
            </w:r>
          </w:p>
          <w:p w14:paraId="301424EE" w14:textId="7E2B08C4" w:rsidR="00577670" w:rsidRDefault="00577670" w:rsidP="00221DD4">
            <w:pPr>
              <w:rPr>
                <w:rFonts w:ascii="Verdana" w:hAnsi="Verdana"/>
              </w:rPr>
            </w:pPr>
            <w:r>
              <w:rPr>
                <w:rFonts w:ascii="Verdana" w:hAnsi="Verdana"/>
              </w:rPr>
              <w:t>(p38)</w:t>
            </w:r>
          </w:p>
          <w:p w14:paraId="690AEEF9" w14:textId="77777777" w:rsidR="00577670" w:rsidRDefault="00577670" w:rsidP="00221DD4">
            <w:pPr>
              <w:rPr>
                <w:rFonts w:ascii="Verdana" w:hAnsi="Verdana"/>
              </w:rPr>
            </w:pPr>
          </w:p>
          <w:p w14:paraId="655E22BB" w14:textId="2E49D9D5" w:rsidR="00577670" w:rsidRDefault="00577670" w:rsidP="00221DD4">
            <w:pPr>
              <w:rPr>
                <w:rFonts w:ascii="Verdana" w:hAnsi="Verdana"/>
              </w:rPr>
            </w:pPr>
            <w:r>
              <w:rPr>
                <w:rFonts w:ascii="Verdana" w:hAnsi="Verdana"/>
              </w:rPr>
              <w:t>3.10.2-3.10.8</w:t>
            </w:r>
          </w:p>
          <w:p w14:paraId="078ED7B0" w14:textId="629F1556" w:rsidR="00577670" w:rsidRDefault="00577670" w:rsidP="00221DD4">
            <w:pPr>
              <w:rPr>
                <w:rFonts w:ascii="Verdana" w:hAnsi="Verdana"/>
              </w:rPr>
            </w:pPr>
            <w:r>
              <w:rPr>
                <w:rFonts w:ascii="Verdana" w:hAnsi="Verdana"/>
              </w:rPr>
              <w:t>(p44-5)</w:t>
            </w:r>
          </w:p>
        </w:tc>
        <w:tc>
          <w:tcPr>
            <w:tcW w:w="3235" w:type="dxa"/>
          </w:tcPr>
          <w:p w14:paraId="608B828E" w14:textId="3D3C6310" w:rsidR="00577670" w:rsidRDefault="0EC88E67" w:rsidP="00F46030">
            <w:pPr>
              <w:rPr>
                <w:rFonts w:ascii="Verdana" w:hAnsi="Verdana"/>
              </w:rPr>
            </w:pPr>
            <w:r w:rsidRPr="2A78D7A4">
              <w:rPr>
                <w:rFonts w:ascii="Verdana" w:hAnsi="Verdana"/>
              </w:rPr>
              <w:t xml:space="preserve">Suspension of student-led Mitigating Circumstances and Extensions processes for all assessments </w:t>
            </w:r>
            <w:r w:rsidR="002C1F38">
              <w:rPr>
                <w:rFonts w:ascii="Verdana" w:hAnsi="Verdana"/>
              </w:rPr>
              <w:t>with a deadline</w:t>
            </w:r>
            <w:r w:rsidRPr="2A78D7A4">
              <w:rPr>
                <w:rFonts w:ascii="Verdana" w:hAnsi="Verdana"/>
              </w:rPr>
              <w:t xml:space="preserve"> after 20 March 2020</w:t>
            </w:r>
          </w:p>
          <w:p w14:paraId="57378954" w14:textId="77777777" w:rsidR="00577670" w:rsidRDefault="00577670" w:rsidP="00F46030">
            <w:pPr>
              <w:rPr>
                <w:rFonts w:ascii="Verdana" w:hAnsi="Verdana"/>
              </w:rPr>
            </w:pPr>
          </w:p>
          <w:p w14:paraId="1460EEE5" w14:textId="6A46F95B" w:rsidR="00577670" w:rsidRDefault="00577670" w:rsidP="00F46030">
            <w:pPr>
              <w:rPr>
                <w:rFonts w:ascii="Verdana" w:hAnsi="Verdana"/>
              </w:rPr>
            </w:pPr>
            <w:r>
              <w:rPr>
                <w:rFonts w:ascii="Verdana" w:hAnsi="Verdana"/>
              </w:rPr>
              <w:t>Emergency Exceptional Circumstances Process and Form for students to apply to utilise if they consider that they will still be unable to complete their teaching, learning and assessment</w:t>
            </w:r>
            <w:r w:rsidR="00A0199B">
              <w:rPr>
                <w:rFonts w:ascii="Verdana" w:hAnsi="Verdana"/>
              </w:rPr>
              <w:t>.</w:t>
            </w:r>
            <w:r w:rsidR="00A0199B">
              <w:rPr>
                <w:rStyle w:val="FootnoteReference"/>
                <w:rFonts w:ascii="Verdana" w:hAnsi="Verdana"/>
              </w:rPr>
              <w:footnoteReference w:id="5"/>
            </w:r>
          </w:p>
        </w:tc>
        <w:tc>
          <w:tcPr>
            <w:tcW w:w="3634" w:type="dxa"/>
          </w:tcPr>
          <w:p w14:paraId="6A0DEECE" w14:textId="52029554" w:rsidR="00577670" w:rsidRDefault="00577670" w:rsidP="00221DD4">
            <w:pPr>
              <w:rPr>
                <w:rFonts w:ascii="Verdana" w:hAnsi="Verdana"/>
              </w:rPr>
            </w:pPr>
            <w:r>
              <w:rPr>
                <w:rFonts w:ascii="Verdana" w:hAnsi="Verdana"/>
              </w:rPr>
              <w:t>The impact of the pandemic is widespread and will affect students in different ways.  Continuing with standard Mitigating Circumstances and Extension processes in such an environment does not seem to meet the needs of the situation. The Exceptional Circumstances Process and Form is designed to provide students with a mechanism to apply, e.g. for deferral, if they are unable to complete even given all adjustments put in place.</w:t>
            </w:r>
          </w:p>
          <w:p w14:paraId="6F605657" w14:textId="2EC22B90" w:rsidR="00577670" w:rsidRDefault="00577670" w:rsidP="00221DD4">
            <w:pPr>
              <w:rPr>
                <w:rFonts w:ascii="Verdana" w:hAnsi="Verdana"/>
              </w:rPr>
            </w:pPr>
          </w:p>
        </w:tc>
      </w:tr>
      <w:tr w:rsidR="00A251C3" w14:paraId="45A71130" w14:textId="272E9B18" w:rsidTr="0019765E">
        <w:tc>
          <w:tcPr>
            <w:tcW w:w="560" w:type="dxa"/>
          </w:tcPr>
          <w:p w14:paraId="33A98551" w14:textId="18294E85" w:rsidR="00577670" w:rsidRDefault="0EC88E67" w:rsidP="00221DD4">
            <w:pPr>
              <w:rPr>
                <w:rFonts w:ascii="Verdana" w:hAnsi="Verdana"/>
              </w:rPr>
            </w:pPr>
            <w:r w:rsidRPr="2A78D7A4">
              <w:rPr>
                <w:rFonts w:ascii="Verdana" w:hAnsi="Verdana"/>
              </w:rPr>
              <w:t>3</w:t>
            </w:r>
          </w:p>
        </w:tc>
        <w:tc>
          <w:tcPr>
            <w:tcW w:w="1587" w:type="dxa"/>
          </w:tcPr>
          <w:p w14:paraId="0A4FF4B7" w14:textId="6F087CD2" w:rsidR="00577670" w:rsidRDefault="00577670" w:rsidP="00221DD4">
            <w:pPr>
              <w:rPr>
                <w:rFonts w:ascii="Verdana" w:hAnsi="Verdana"/>
              </w:rPr>
            </w:pPr>
            <w:r>
              <w:rPr>
                <w:rFonts w:ascii="Verdana" w:hAnsi="Verdana"/>
              </w:rPr>
              <w:t>3.7.6</w:t>
            </w:r>
          </w:p>
          <w:p w14:paraId="129F5CBE" w14:textId="77777777" w:rsidR="00577670" w:rsidRDefault="00577670" w:rsidP="00221DD4">
            <w:pPr>
              <w:rPr>
                <w:rFonts w:ascii="Verdana" w:hAnsi="Verdana"/>
              </w:rPr>
            </w:pPr>
            <w:r>
              <w:rPr>
                <w:rFonts w:ascii="Verdana" w:hAnsi="Verdana"/>
              </w:rPr>
              <w:t>3.7.7</w:t>
            </w:r>
          </w:p>
          <w:p w14:paraId="197E0E75" w14:textId="3068E3F0" w:rsidR="00577670" w:rsidRDefault="00577670" w:rsidP="00221DD4">
            <w:pPr>
              <w:rPr>
                <w:rFonts w:ascii="Verdana" w:hAnsi="Verdana"/>
              </w:rPr>
            </w:pPr>
            <w:r>
              <w:rPr>
                <w:rFonts w:ascii="Verdana" w:hAnsi="Verdana"/>
              </w:rPr>
              <w:t>(p40)</w:t>
            </w:r>
          </w:p>
        </w:tc>
        <w:tc>
          <w:tcPr>
            <w:tcW w:w="3235" w:type="dxa"/>
          </w:tcPr>
          <w:p w14:paraId="13FD5C19" w14:textId="32379C17" w:rsidR="00577670" w:rsidRDefault="00577670" w:rsidP="00221DD4">
            <w:pPr>
              <w:rPr>
                <w:rFonts w:ascii="Verdana" w:hAnsi="Verdana"/>
              </w:rPr>
            </w:pPr>
            <w:r>
              <w:rPr>
                <w:rFonts w:ascii="Verdana" w:hAnsi="Verdana"/>
              </w:rPr>
              <w:t>For all assessments where the first opportunity</w:t>
            </w:r>
            <w:r w:rsidR="00B47809">
              <w:rPr>
                <w:rFonts w:ascii="Verdana" w:hAnsi="Verdana"/>
              </w:rPr>
              <w:t xml:space="preserve"> deadline</w:t>
            </w:r>
            <w:r>
              <w:rPr>
                <w:rFonts w:ascii="Verdana" w:hAnsi="Verdana"/>
              </w:rPr>
              <w:t xml:space="preserve"> is </w:t>
            </w:r>
            <w:r w:rsidRPr="00A01E32">
              <w:rPr>
                <w:rFonts w:ascii="Verdana" w:hAnsi="Verdana"/>
                <w:i/>
              </w:rPr>
              <w:t>after</w:t>
            </w:r>
            <w:r>
              <w:rPr>
                <w:rFonts w:ascii="Verdana" w:hAnsi="Verdana"/>
              </w:rPr>
              <w:t xml:space="preserve"> </w:t>
            </w:r>
            <w:r w:rsidR="00654FAD">
              <w:rPr>
                <w:rFonts w:ascii="Verdana" w:hAnsi="Verdana"/>
              </w:rPr>
              <w:t>20 March</w:t>
            </w:r>
            <w:r>
              <w:rPr>
                <w:rFonts w:ascii="Verdana" w:hAnsi="Verdana"/>
              </w:rPr>
              <w:t xml:space="preserve"> 2020, three assessment opportunities will be provided.</w:t>
            </w:r>
          </w:p>
          <w:p w14:paraId="5E1B6A04" w14:textId="5CBF0E2B" w:rsidR="00577670" w:rsidRDefault="00577670" w:rsidP="00221DD4">
            <w:pPr>
              <w:rPr>
                <w:rFonts w:ascii="Verdana" w:hAnsi="Verdana"/>
              </w:rPr>
            </w:pPr>
          </w:p>
          <w:p w14:paraId="4D14689A" w14:textId="17E58196" w:rsidR="00577670" w:rsidRDefault="35984C7D" w:rsidP="00A01E32">
            <w:pPr>
              <w:pStyle w:val="ListParagraph"/>
              <w:numPr>
                <w:ilvl w:val="0"/>
                <w:numId w:val="4"/>
              </w:numPr>
              <w:rPr>
                <w:rFonts w:ascii="Verdana" w:hAnsi="Verdana"/>
              </w:rPr>
            </w:pPr>
            <w:r w:rsidRPr="2F1A1475">
              <w:rPr>
                <w:rFonts w:ascii="Verdana" w:hAnsi="Verdana"/>
              </w:rPr>
              <w:t>Students can submit to a maximum of two of those opportunities.  Students cannot resubmit for a higher grade once they have passed the assessment.</w:t>
            </w:r>
          </w:p>
          <w:p w14:paraId="36523736" w14:textId="77777777" w:rsidR="00577670" w:rsidRDefault="00577670" w:rsidP="00A01E32">
            <w:pPr>
              <w:pStyle w:val="ListParagraph"/>
              <w:ind w:left="360"/>
              <w:rPr>
                <w:rFonts w:ascii="Verdana" w:hAnsi="Verdana"/>
              </w:rPr>
            </w:pPr>
          </w:p>
          <w:p w14:paraId="46D02689" w14:textId="678DDA1B" w:rsidR="00577670" w:rsidRDefault="172D200A" w:rsidP="00A01E32">
            <w:pPr>
              <w:pStyle w:val="ListParagraph"/>
              <w:numPr>
                <w:ilvl w:val="0"/>
                <w:numId w:val="4"/>
              </w:numPr>
              <w:rPr>
                <w:rFonts w:ascii="Verdana" w:hAnsi="Verdana"/>
              </w:rPr>
            </w:pPr>
            <w:r w:rsidRPr="36CD3B22">
              <w:rPr>
                <w:rFonts w:ascii="Verdana" w:hAnsi="Verdana"/>
              </w:rPr>
              <w:t xml:space="preserve">Students who fail to submit at their first opportunity can submit </w:t>
            </w:r>
            <w:r w:rsidR="48EAA3FC" w:rsidRPr="36CD3B22">
              <w:rPr>
                <w:rFonts w:ascii="Verdana" w:hAnsi="Verdana"/>
              </w:rPr>
              <w:t>at the second or third opportunity</w:t>
            </w:r>
            <w:r w:rsidRPr="36CD3B22">
              <w:rPr>
                <w:rFonts w:ascii="Verdana" w:hAnsi="Verdana"/>
              </w:rPr>
              <w:t xml:space="preserve"> for a true grade. </w:t>
            </w:r>
          </w:p>
          <w:p w14:paraId="609EC2DF" w14:textId="4530B9B8" w:rsidR="00577670" w:rsidRPr="00A01E32" w:rsidRDefault="00577670" w:rsidP="00A01E32">
            <w:pPr>
              <w:rPr>
                <w:rFonts w:ascii="Verdana" w:hAnsi="Verdana"/>
              </w:rPr>
            </w:pPr>
          </w:p>
          <w:p w14:paraId="1DC153A9" w14:textId="640DEAE4" w:rsidR="00577670" w:rsidRDefault="00577670" w:rsidP="007F0BF0">
            <w:pPr>
              <w:pStyle w:val="ListParagraph"/>
              <w:numPr>
                <w:ilvl w:val="0"/>
                <w:numId w:val="4"/>
              </w:numPr>
              <w:rPr>
                <w:rFonts w:ascii="Verdana" w:hAnsi="Verdana"/>
              </w:rPr>
            </w:pPr>
            <w:r w:rsidRPr="00A01E32">
              <w:rPr>
                <w:rFonts w:ascii="Verdana" w:hAnsi="Verdana"/>
              </w:rPr>
              <w:t xml:space="preserve">Students who submit and fail </w:t>
            </w:r>
            <w:r>
              <w:rPr>
                <w:rFonts w:ascii="Verdana" w:hAnsi="Verdana"/>
              </w:rPr>
              <w:t>at the first opportunity can resubmit</w:t>
            </w:r>
            <w:r w:rsidR="00AB7DAD">
              <w:rPr>
                <w:rFonts w:ascii="Verdana" w:hAnsi="Verdana"/>
              </w:rPr>
              <w:t xml:space="preserve"> at the second or third opportunity</w:t>
            </w:r>
            <w:r>
              <w:rPr>
                <w:rFonts w:ascii="Verdana" w:hAnsi="Verdana"/>
              </w:rPr>
              <w:t xml:space="preserve"> for a grade capped at the bare pass.</w:t>
            </w:r>
          </w:p>
          <w:p w14:paraId="269324F5" w14:textId="77777777" w:rsidR="00577670" w:rsidRPr="00A01E32" w:rsidRDefault="00577670" w:rsidP="00A01E32">
            <w:pPr>
              <w:pStyle w:val="ListParagraph"/>
              <w:rPr>
                <w:rFonts w:ascii="Verdana" w:hAnsi="Verdana"/>
              </w:rPr>
            </w:pPr>
          </w:p>
          <w:p w14:paraId="141C8E7E" w14:textId="11937A74" w:rsidR="00577670" w:rsidRDefault="0EC88E67" w:rsidP="00A01E32">
            <w:pPr>
              <w:rPr>
                <w:rFonts w:ascii="Verdana" w:hAnsi="Verdana"/>
              </w:rPr>
            </w:pPr>
            <w:r w:rsidRPr="2A78D7A4">
              <w:rPr>
                <w:rFonts w:ascii="Verdana" w:hAnsi="Verdana"/>
              </w:rPr>
              <w:t>For all assessments where the first opportunity</w:t>
            </w:r>
            <w:r w:rsidR="00B47809">
              <w:rPr>
                <w:rFonts w:ascii="Verdana" w:hAnsi="Verdana"/>
              </w:rPr>
              <w:t xml:space="preserve"> deadline was</w:t>
            </w:r>
            <w:r w:rsidRPr="2A78D7A4">
              <w:rPr>
                <w:rFonts w:ascii="Verdana" w:hAnsi="Verdana"/>
              </w:rPr>
              <w:t xml:space="preserve"> </w:t>
            </w:r>
            <w:r w:rsidRPr="2A78D7A4">
              <w:rPr>
                <w:rFonts w:ascii="Verdana" w:hAnsi="Verdana"/>
                <w:i/>
                <w:iCs/>
              </w:rPr>
              <w:t xml:space="preserve">prior to </w:t>
            </w:r>
            <w:r w:rsidR="00654FAD">
              <w:rPr>
                <w:rFonts w:ascii="Verdana" w:hAnsi="Verdana"/>
              </w:rPr>
              <w:t>20 March</w:t>
            </w:r>
            <w:r w:rsidRPr="2A78D7A4">
              <w:rPr>
                <w:rFonts w:ascii="Verdana" w:hAnsi="Verdana"/>
              </w:rPr>
              <w:t xml:space="preserve"> 2020, an additional two assessment opportunities will be provided.</w:t>
            </w:r>
          </w:p>
          <w:p w14:paraId="65AB18A8" w14:textId="6FDDD665" w:rsidR="00577670" w:rsidRDefault="00577670" w:rsidP="00A01E32">
            <w:pPr>
              <w:rPr>
                <w:rFonts w:ascii="Verdana" w:hAnsi="Verdana"/>
              </w:rPr>
            </w:pPr>
          </w:p>
          <w:p w14:paraId="2C76DA14" w14:textId="3659A7FB" w:rsidR="00577670" w:rsidRDefault="0EC88E67" w:rsidP="00A01E32">
            <w:pPr>
              <w:pStyle w:val="ListParagraph"/>
              <w:numPr>
                <w:ilvl w:val="0"/>
                <w:numId w:val="4"/>
              </w:numPr>
              <w:rPr>
                <w:rFonts w:ascii="Verdana" w:hAnsi="Verdana"/>
              </w:rPr>
            </w:pPr>
            <w:r w:rsidRPr="2A78D7A4">
              <w:rPr>
                <w:rFonts w:ascii="Verdana" w:hAnsi="Verdana"/>
              </w:rPr>
              <w:t>Students who have not already passed the assessment can submit to one of those opportunities.</w:t>
            </w:r>
          </w:p>
          <w:p w14:paraId="288E2279" w14:textId="78400BF5" w:rsidR="00577670" w:rsidRDefault="00577670" w:rsidP="00A01E32">
            <w:pPr>
              <w:rPr>
                <w:rFonts w:ascii="Verdana" w:hAnsi="Verdana"/>
              </w:rPr>
            </w:pPr>
          </w:p>
          <w:p w14:paraId="4C17B6CE" w14:textId="4D3E65E7" w:rsidR="00577670" w:rsidRPr="00A01E32" w:rsidRDefault="00577670" w:rsidP="00A01E32">
            <w:pPr>
              <w:rPr>
                <w:rFonts w:ascii="Verdana" w:hAnsi="Verdana"/>
              </w:rPr>
            </w:pPr>
            <w:r>
              <w:rPr>
                <w:rFonts w:ascii="Verdana" w:hAnsi="Verdana"/>
              </w:rPr>
              <w:t>For all as</w:t>
            </w:r>
            <w:r w:rsidR="00B47809">
              <w:rPr>
                <w:rFonts w:ascii="Verdana" w:hAnsi="Verdana"/>
              </w:rPr>
              <w:t xml:space="preserve">sessments where both first sit and resit deadlines were </w:t>
            </w:r>
            <w:r>
              <w:rPr>
                <w:rFonts w:ascii="Verdana" w:hAnsi="Verdana"/>
              </w:rPr>
              <w:t xml:space="preserve">prior to </w:t>
            </w:r>
            <w:r w:rsidR="00654FAD">
              <w:rPr>
                <w:rFonts w:ascii="Verdana" w:hAnsi="Verdana"/>
              </w:rPr>
              <w:t>20 March</w:t>
            </w:r>
            <w:r>
              <w:rPr>
                <w:rFonts w:ascii="Verdana" w:hAnsi="Verdana"/>
              </w:rPr>
              <w:t xml:space="preserve"> 2020 – no further opportunities.</w:t>
            </w:r>
          </w:p>
          <w:p w14:paraId="79C2EA65" w14:textId="0D1458D0" w:rsidR="00D17637" w:rsidRPr="00D17637" w:rsidRDefault="00D17637" w:rsidP="00A01E32">
            <w:pPr>
              <w:rPr>
                <w:rFonts w:ascii="Verdana" w:hAnsi="Verdana"/>
                <w:i/>
              </w:rPr>
            </w:pPr>
          </w:p>
        </w:tc>
        <w:tc>
          <w:tcPr>
            <w:tcW w:w="3634" w:type="dxa"/>
          </w:tcPr>
          <w:p w14:paraId="4200A10A" w14:textId="1390AF91" w:rsidR="00577670" w:rsidRDefault="00577670" w:rsidP="00221DD4">
            <w:pPr>
              <w:rPr>
                <w:rFonts w:ascii="Verdana" w:hAnsi="Verdana"/>
              </w:rPr>
            </w:pPr>
            <w:r>
              <w:rPr>
                <w:rFonts w:ascii="Verdana" w:hAnsi="Verdana"/>
              </w:rPr>
              <w:lastRenderedPageBreak/>
              <w:t xml:space="preserve">This provides some structured flexibility for students to submit when they are able in the current circumstances, whilst still protecting academic integrity by ensuring that </w:t>
            </w:r>
            <w:r>
              <w:rPr>
                <w:rFonts w:ascii="Verdana" w:hAnsi="Verdana"/>
              </w:rPr>
              <w:lastRenderedPageBreak/>
              <w:t>students continue to be eligible to submit only twice.</w:t>
            </w:r>
          </w:p>
        </w:tc>
      </w:tr>
      <w:tr w:rsidR="00A251C3" w14:paraId="38C06574" w14:textId="744666A7" w:rsidTr="0019765E">
        <w:tc>
          <w:tcPr>
            <w:tcW w:w="560" w:type="dxa"/>
          </w:tcPr>
          <w:p w14:paraId="704A0D07" w14:textId="03B5F95F" w:rsidR="00577670" w:rsidRDefault="0EC88E67" w:rsidP="00221DD4">
            <w:pPr>
              <w:rPr>
                <w:rFonts w:ascii="Verdana" w:hAnsi="Verdana"/>
              </w:rPr>
            </w:pPr>
            <w:r w:rsidRPr="2A78D7A4">
              <w:rPr>
                <w:rFonts w:ascii="Verdana" w:hAnsi="Verdana"/>
              </w:rPr>
              <w:lastRenderedPageBreak/>
              <w:t>4</w:t>
            </w:r>
          </w:p>
        </w:tc>
        <w:tc>
          <w:tcPr>
            <w:tcW w:w="1587" w:type="dxa"/>
          </w:tcPr>
          <w:p w14:paraId="6FC88C9D" w14:textId="64AD8812" w:rsidR="00577670" w:rsidRDefault="00577670" w:rsidP="00221DD4">
            <w:pPr>
              <w:rPr>
                <w:rFonts w:ascii="Verdana" w:hAnsi="Verdana"/>
              </w:rPr>
            </w:pPr>
          </w:p>
        </w:tc>
        <w:tc>
          <w:tcPr>
            <w:tcW w:w="3235" w:type="dxa"/>
          </w:tcPr>
          <w:p w14:paraId="14639870" w14:textId="77777777" w:rsidR="00577670" w:rsidRDefault="0EC88E67" w:rsidP="00221DD4">
            <w:pPr>
              <w:rPr>
                <w:rFonts w:ascii="Verdana" w:hAnsi="Verdana"/>
              </w:rPr>
            </w:pPr>
            <w:r w:rsidRPr="2A78D7A4">
              <w:rPr>
                <w:rFonts w:ascii="Verdana" w:hAnsi="Verdana"/>
              </w:rPr>
              <w:t xml:space="preserve">Where grades for a module are incomplete, the final module grade will be calculated from the grades of the existing assessment components in </w:t>
            </w:r>
            <w:r w:rsidRPr="2A78D7A4">
              <w:rPr>
                <w:rFonts w:ascii="Verdana" w:hAnsi="Verdana"/>
              </w:rPr>
              <w:lastRenderedPageBreak/>
              <w:t>the following circumstances:</w:t>
            </w:r>
          </w:p>
          <w:p w14:paraId="4A33578C" w14:textId="77777777" w:rsidR="00577670" w:rsidRDefault="00577670" w:rsidP="00221DD4">
            <w:pPr>
              <w:rPr>
                <w:rFonts w:ascii="Verdana" w:hAnsi="Verdana"/>
              </w:rPr>
            </w:pPr>
          </w:p>
          <w:p w14:paraId="6F75F115" w14:textId="77777777" w:rsidR="00577670" w:rsidRDefault="00577670" w:rsidP="00577670">
            <w:pPr>
              <w:pStyle w:val="ListParagraph"/>
              <w:numPr>
                <w:ilvl w:val="0"/>
                <w:numId w:val="4"/>
              </w:numPr>
              <w:rPr>
                <w:rFonts w:ascii="Verdana" w:hAnsi="Verdana"/>
              </w:rPr>
            </w:pPr>
            <w:r>
              <w:rPr>
                <w:rFonts w:ascii="Verdana" w:hAnsi="Verdana"/>
              </w:rPr>
              <w:t>I</w:t>
            </w:r>
            <w:r w:rsidRPr="00577670">
              <w:rPr>
                <w:rFonts w:ascii="Verdana" w:hAnsi="Verdana"/>
              </w:rPr>
              <w:t>f these are worth at least 50% of the</w:t>
            </w:r>
            <w:r>
              <w:rPr>
                <w:rFonts w:ascii="Verdana" w:hAnsi="Verdana"/>
              </w:rPr>
              <w:t xml:space="preserve"> total module mark</w:t>
            </w:r>
          </w:p>
          <w:p w14:paraId="7032D3E3" w14:textId="77777777" w:rsidR="00EF3135" w:rsidRDefault="00EF3135" w:rsidP="00577670">
            <w:pPr>
              <w:pStyle w:val="ListParagraph"/>
              <w:numPr>
                <w:ilvl w:val="0"/>
                <w:numId w:val="4"/>
              </w:numPr>
              <w:rPr>
                <w:rFonts w:ascii="Verdana" w:hAnsi="Verdana"/>
              </w:rPr>
            </w:pPr>
            <w:r>
              <w:rPr>
                <w:rFonts w:ascii="Verdana" w:hAnsi="Verdana"/>
              </w:rPr>
              <w:t>W</w:t>
            </w:r>
            <w:r w:rsidR="00577670" w:rsidRPr="00577670">
              <w:rPr>
                <w:rFonts w:ascii="Verdana" w:hAnsi="Verdana"/>
              </w:rPr>
              <w:t xml:space="preserve">here at least 2/3 </w:t>
            </w:r>
            <w:r>
              <w:rPr>
                <w:rFonts w:ascii="Verdana" w:hAnsi="Verdana"/>
              </w:rPr>
              <w:t xml:space="preserve">of the total credits for the level in question </w:t>
            </w:r>
            <w:r w:rsidR="00577670" w:rsidRPr="00577670">
              <w:rPr>
                <w:rFonts w:ascii="Verdana" w:hAnsi="Verdana"/>
              </w:rPr>
              <w:t>have</w:t>
            </w:r>
            <w:r>
              <w:rPr>
                <w:rFonts w:ascii="Verdana" w:hAnsi="Verdana"/>
              </w:rPr>
              <w:t xml:space="preserve"> complete module grades</w:t>
            </w:r>
          </w:p>
          <w:p w14:paraId="7BC74A0F" w14:textId="5DDCE7C3" w:rsidR="00577670" w:rsidRPr="00577670" w:rsidRDefault="00EF3135" w:rsidP="00577670">
            <w:pPr>
              <w:pStyle w:val="ListParagraph"/>
              <w:numPr>
                <w:ilvl w:val="0"/>
                <w:numId w:val="4"/>
              </w:numPr>
              <w:rPr>
                <w:rFonts w:ascii="Verdana" w:hAnsi="Verdana"/>
              </w:rPr>
            </w:pPr>
            <w:r>
              <w:rPr>
                <w:rFonts w:ascii="Verdana" w:hAnsi="Verdana"/>
              </w:rPr>
              <w:t>W</w:t>
            </w:r>
            <w:r w:rsidR="00577670" w:rsidRPr="00577670">
              <w:rPr>
                <w:rFonts w:ascii="Verdana" w:hAnsi="Verdana"/>
              </w:rPr>
              <w:t>here</w:t>
            </w:r>
            <w:r>
              <w:rPr>
                <w:rFonts w:ascii="Verdana" w:hAnsi="Verdana"/>
              </w:rPr>
              <w:t xml:space="preserve"> the</w:t>
            </w:r>
            <w:r w:rsidR="00577670" w:rsidRPr="00577670">
              <w:rPr>
                <w:rFonts w:ascii="Verdana" w:hAnsi="Verdana"/>
              </w:rPr>
              <w:t xml:space="preserve"> programme leader can demonstrate completion of</w:t>
            </w:r>
            <w:r>
              <w:rPr>
                <w:rFonts w:ascii="Verdana" w:hAnsi="Verdana"/>
              </w:rPr>
              <w:t xml:space="preserve"> all</w:t>
            </w:r>
            <w:r w:rsidR="00577670" w:rsidRPr="00577670">
              <w:rPr>
                <w:rFonts w:ascii="Verdana" w:hAnsi="Verdana"/>
              </w:rPr>
              <w:t xml:space="preserve"> PLOs </w:t>
            </w:r>
            <w:r>
              <w:rPr>
                <w:rFonts w:ascii="Verdana" w:hAnsi="Verdana"/>
              </w:rPr>
              <w:t>(either already or through modules to be completed in following years)</w:t>
            </w:r>
          </w:p>
          <w:p w14:paraId="5A03AEC9" w14:textId="77777777" w:rsidR="00577670" w:rsidRDefault="00577670" w:rsidP="00221DD4">
            <w:pPr>
              <w:rPr>
                <w:rFonts w:ascii="Verdana" w:hAnsi="Verdana"/>
              </w:rPr>
            </w:pPr>
          </w:p>
          <w:p w14:paraId="394F67B3" w14:textId="77777777" w:rsidR="00EF3135" w:rsidRDefault="00A0199B" w:rsidP="00221DD4">
            <w:pPr>
              <w:rPr>
                <w:rFonts w:ascii="Verdana" w:hAnsi="Verdana"/>
                <w:i/>
              </w:rPr>
            </w:pPr>
            <w:r w:rsidRPr="00EF3135">
              <w:rPr>
                <w:rFonts w:ascii="Verdana" w:hAnsi="Verdana"/>
                <w:i/>
              </w:rPr>
              <w:t>NB –</w:t>
            </w:r>
            <w:r>
              <w:rPr>
                <w:rFonts w:ascii="Verdana" w:hAnsi="Verdana"/>
                <w:i/>
              </w:rPr>
              <w:t xml:space="preserve"> </w:t>
            </w:r>
            <w:r w:rsidRPr="00EF3135">
              <w:rPr>
                <w:rFonts w:ascii="Verdana" w:hAnsi="Verdana"/>
                <w:i/>
              </w:rPr>
              <w:t xml:space="preserve">final year students [Level 6, Level 7, Level 5 for students registered on an HND or Foundation Degree] </w:t>
            </w:r>
            <w:r>
              <w:rPr>
                <w:rFonts w:ascii="Verdana" w:hAnsi="Verdana"/>
                <w:i/>
              </w:rPr>
              <w:t xml:space="preserve">who </w:t>
            </w:r>
            <w:r w:rsidRPr="00EF3135">
              <w:rPr>
                <w:rFonts w:ascii="Verdana" w:hAnsi="Verdana"/>
                <w:i/>
              </w:rPr>
              <w:t xml:space="preserve">prefer to wait for an opportunity to complete all assessments within a module, </w:t>
            </w:r>
            <w:r>
              <w:rPr>
                <w:rFonts w:ascii="Verdana" w:hAnsi="Verdana"/>
                <w:i/>
              </w:rPr>
              <w:t>in case this affects the overall module grade, will be given this opportunity even if it means that completion is delayed.</w:t>
            </w:r>
          </w:p>
          <w:p w14:paraId="2771185D" w14:textId="358E90A2" w:rsidR="000331FD" w:rsidRPr="00EF3135" w:rsidRDefault="000331FD" w:rsidP="00221DD4">
            <w:pPr>
              <w:rPr>
                <w:rFonts w:ascii="Verdana" w:hAnsi="Verdana"/>
                <w:i/>
              </w:rPr>
            </w:pPr>
          </w:p>
        </w:tc>
        <w:tc>
          <w:tcPr>
            <w:tcW w:w="3634" w:type="dxa"/>
          </w:tcPr>
          <w:p w14:paraId="0D98A016" w14:textId="77777777" w:rsidR="00577670" w:rsidRDefault="00577670" w:rsidP="00221DD4">
            <w:pPr>
              <w:rPr>
                <w:rFonts w:ascii="Verdana" w:hAnsi="Verdana"/>
              </w:rPr>
            </w:pPr>
            <w:r>
              <w:rPr>
                <w:rFonts w:ascii="Verdana" w:hAnsi="Verdana"/>
              </w:rPr>
              <w:lastRenderedPageBreak/>
              <w:t xml:space="preserve">Ensures that the maximum number of students can complete their learning for the academic year, whilst maintaining the integrity of the credits awarded by </w:t>
            </w:r>
            <w:r>
              <w:rPr>
                <w:rFonts w:ascii="Verdana" w:hAnsi="Verdana"/>
              </w:rPr>
              <w:lastRenderedPageBreak/>
              <w:t>ensuring learning outcomes continue to be demonstrated.</w:t>
            </w:r>
          </w:p>
          <w:p w14:paraId="4BDD15C5" w14:textId="3B10C66A" w:rsidR="00577670" w:rsidRPr="1EA863F9" w:rsidRDefault="00577670" w:rsidP="00221DD4">
            <w:pPr>
              <w:rPr>
                <w:rFonts w:ascii="Verdana" w:hAnsi="Verdana"/>
              </w:rPr>
            </w:pPr>
          </w:p>
        </w:tc>
      </w:tr>
      <w:tr w:rsidR="00A251C3" w14:paraId="0507BCB2" w14:textId="1F197167" w:rsidTr="0019765E">
        <w:tc>
          <w:tcPr>
            <w:tcW w:w="560" w:type="dxa"/>
          </w:tcPr>
          <w:p w14:paraId="6574F927" w14:textId="56D24041" w:rsidR="00577670" w:rsidRDefault="00A0199B" w:rsidP="00221DD4">
            <w:pPr>
              <w:rPr>
                <w:rFonts w:ascii="Verdana" w:hAnsi="Verdana"/>
              </w:rPr>
            </w:pPr>
            <w:r w:rsidRPr="2A78D7A4">
              <w:rPr>
                <w:rFonts w:ascii="Verdana" w:hAnsi="Verdana"/>
              </w:rPr>
              <w:lastRenderedPageBreak/>
              <w:t>5</w:t>
            </w:r>
          </w:p>
        </w:tc>
        <w:tc>
          <w:tcPr>
            <w:tcW w:w="1587" w:type="dxa"/>
          </w:tcPr>
          <w:p w14:paraId="1107CA10" w14:textId="2CB98D78" w:rsidR="00577670" w:rsidRDefault="00577670" w:rsidP="00221DD4">
            <w:pPr>
              <w:rPr>
                <w:rFonts w:ascii="Verdana" w:hAnsi="Verdana"/>
              </w:rPr>
            </w:pPr>
            <w:r>
              <w:rPr>
                <w:rFonts w:ascii="Verdana" w:hAnsi="Verdana"/>
              </w:rPr>
              <w:t>3.7.3</w:t>
            </w:r>
          </w:p>
          <w:p w14:paraId="7F863DF1" w14:textId="7AB692C8" w:rsidR="00577670" w:rsidRDefault="00577670" w:rsidP="00221DD4">
            <w:pPr>
              <w:rPr>
                <w:rFonts w:ascii="Verdana" w:hAnsi="Verdana"/>
              </w:rPr>
            </w:pPr>
            <w:r>
              <w:rPr>
                <w:rFonts w:ascii="Verdana" w:hAnsi="Verdana"/>
              </w:rPr>
              <w:t>3.7.4</w:t>
            </w:r>
          </w:p>
          <w:p w14:paraId="4929F812" w14:textId="367E86E9" w:rsidR="00577670" w:rsidRDefault="00577670" w:rsidP="00221DD4">
            <w:pPr>
              <w:rPr>
                <w:rFonts w:ascii="Verdana" w:hAnsi="Verdana"/>
              </w:rPr>
            </w:pPr>
            <w:r>
              <w:rPr>
                <w:rFonts w:ascii="Verdana" w:hAnsi="Verdana"/>
              </w:rPr>
              <w:t>(p40)</w:t>
            </w:r>
          </w:p>
          <w:p w14:paraId="2F0A78EE" w14:textId="3FCE0599" w:rsidR="00577670" w:rsidRDefault="00577670" w:rsidP="00221DD4">
            <w:pPr>
              <w:rPr>
                <w:rFonts w:ascii="Verdana" w:hAnsi="Verdana"/>
              </w:rPr>
            </w:pPr>
          </w:p>
          <w:p w14:paraId="5DB98ED4" w14:textId="54869705" w:rsidR="00577670" w:rsidRDefault="00577670" w:rsidP="00221DD4">
            <w:pPr>
              <w:rPr>
                <w:rFonts w:ascii="Verdana" w:hAnsi="Verdana"/>
              </w:rPr>
            </w:pPr>
            <w:r>
              <w:rPr>
                <w:rFonts w:ascii="Verdana" w:hAnsi="Verdana"/>
              </w:rPr>
              <w:t>3.3.2</w:t>
            </w:r>
          </w:p>
          <w:p w14:paraId="4A5C8C1C" w14:textId="0549DD00" w:rsidR="00577670" w:rsidRDefault="00577670" w:rsidP="00221DD4">
            <w:pPr>
              <w:rPr>
                <w:rFonts w:ascii="Verdana" w:hAnsi="Verdana"/>
              </w:rPr>
            </w:pPr>
            <w:r>
              <w:rPr>
                <w:rFonts w:ascii="Verdana" w:hAnsi="Verdana"/>
              </w:rPr>
              <w:t>3.3.3</w:t>
            </w:r>
          </w:p>
          <w:p w14:paraId="7DB0041D" w14:textId="07A13714" w:rsidR="00577670" w:rsidRDefault="00577670" w:rsidP="00221DD4">
            <w:pPr>
              <w:rPr>
                <w:rFonts w:ascii="Verdana" w:hAnsi="Verdana"/>
              </w:rPr>
            </w:pPr>
            <w:r>
              <w:rPr>
                <w:rFonts w:ascii="Verdana" w:hAnsi="Verdana"/>
              </w:rPr>
              <w:t>(p33)</w:t>
            </w:r>
          </w:p>
          <w:p w14:paraId="70204D0B" w14:textId="7AB7FD88" w:rsidR="00577670" w:rsidRDefault="00577670" w:rsidP="00221DD4">
            <w:pPr>
              <w:rPr>
                <w:rFonts w:ascii="Verdana" w:hAnsi="Verdana"/>
              </w:rPr>
            </w:pPr>
          </w:p>
        </w:tc>
        <w:tc>
          <w:tcPr>
            <w:tcW w:w="3235" w:type="dxa"/>
          </w:tcPr>
          <w:p w14:paraId="22389B28" w14:textId="6476FC00" w:rsidR="00577670" w:rsidRDefault="00A0199B" w:rsidP="00221DD4">
            <w:pPr>
              <w:rPr>
                <w:rFonts w:ascii="Verdana" w:hAnsi="Verdana"/>
              </w:rPr>
            </w:pPr>
            <w:r w:rsidRPr="2A78D7A4">
              <w:rPr>
                <w:rFonts w:ascii="Verdana" w:hAnsi="Verdana"/>
              </w:rPr>
              <w:t>Students will progress provisionally subject to completion of any modules that remain incomplete due to the nature of the subject matter and/or assessment type. A fin</w:t>
            </w:r>
            <w:r w:rsidR="0EC88E67" w:rsidRPr="2A78D7A4">
              <w:rPr>
                <w:rFonts w:ascii="Verdana" w:hAnsi="Verdana"/>
              </w:rPr>
              <w:t>al deadline for retrieval of outstanding assessments</w:t>
            </w:r>
            <w:r w:rsidRPr="2A78D7A4">
              <w:rPr>
                <w:rFonts w:ascii="Verdana" w:hAnsi="Verdana"/>
              </w:rPr>
              <w:t xml:space="preserve"> and completion of those modules will be established.</w:t>
            </w:r>
            <w:r w:rsidR="00876A6C">
              <w:rPr>
                <w:rFonts w:ascii="Verdana" w:hAnsi="Verdana"/>
              </w:rPr>
              <w:t xml:space="preserve"> NB this is only relevant where a module remains incomplete and not where a student has failed a module following </w:t>
            </w:r>
            <w:r w:rsidR="00876A6C">
              <w:rPr>
                <w:rFonts w:ascii="Verdana" w:hAnsi="Verdana"/>
              </w:rPr>
              <w:lastRenderedPageBreak/>
              <w:t>completion of all available assessment opportunities.</w:t>
            </w:r>
          </w:p>
          <w:p w14:paraId="70A50041" w14:textId="77777777" w:rsidR="00577670" w:rsidRDefault="00577670" w:rsidP="00221DD4">
            <w:pPr>
              <w:rPr>
                <w:rFonts w:ascii="Verdana" w:hAnsi="Verdana"/>
              </w:rPr>
            </w:pPr>
          </w:p>
        </w:tc>
        <w:tc>
          <w:tcPr>
            <w:tcW w:w="3634" w:type="dxa"/>
          </w:tcPr>
          <w:p w14:paraId="2E20301F" w14:textId="43AE6850" w:rsidR="00577670" w:rsidRPr="1EA863F9" w:rsidRDefault="00A0199B" w:rsidP="00221DD4">
            <w:pPr>
              <w:rPr>
                <w:rFonts w:ascii="Verdana" w:hAnsi="Verdana"/>
              </w:rPr>
            </w:pPr>
            <w:r>
              <w:rPr>
                <w:rFonts w:ascii="Verdana" w:hAnsi="Verdana"/>
              </w:rPr>
              <w:lastRenderedPageBreak/>
              <w:t>Ensures that students who cannot complete modules this academic year due to the nature of the subject matter and/or assessment type will not be required to move to part time study to complete the academic year.</w:t>
            </w:r>
          </w:p>
        </w:tc>
      </w:tr>
      <w:tr w:rsidR="00A251C3" w14:paraId="3038BECB" w14:textId="21DD03AF" w:rsidTr="0019765E">
        <w:tc>
          <w:tcPr>
            <w:tcW w:w="560" w:type="dxa"/>
          </w:tcPr>
          <w:p w14:paraId="20A4D387" w14:textId="5013515C" w:rsidR="00577670" w:rsidRDefault="00A0199B" w:rsidP="00221DD4">
            <w:pPr>
              <w:rPr>
                <w:rFonts w:ascii="Verdana" w:hAnsi="Verdana"/>
              </w:rPr>
            </w:pPr>
            <w:r w:rsidRPr="2A78D7A4">
              <w:rPr>
                <w:rFonts w:ascii="Verdana" w:hAnsi="Verdana"/>
              </w:rPr>
              <w:t>6</w:t>
            </w:r>
          </w:p>
        </w:tc>
        <w:tc>
          <w:tcPr>
            <w:tcW w:w="1587" w:type="dxa"/>
          </w:tcPr>
          <w:p w14:paraId="2EAEE94D" w14:textId="3591422F" w:rsidR="00577670" w:rsidRDefault="00577670" w:rsidP="00221DD4">
            <w:pPr>
              <w:rPr>
                <w:rFonts w:ascii="Verdana" w:hAnsi="Verdana"/>
              </w:rPr>
            </w:pPr>
            <w:r>
              <w:rPr>
                <w:rFonts w:ascii="Verdana" w:hAnsi="Verdana"/>
              </w:rPr>
              <w:t>3.7.13</w:t>
            </w:r>
          </w:p>
          <w:p w14:paraId="14DEAE8A" w14:textId="39BD23F1" w:rsidR="00577670" w:rsidRDefault="00577670" w:rsidP="00221DD4">
            <w:pPr>
              <w:rPr>
                <w:rFonts w:ascii="Verdana" w:hAnsi="Verdana"/>
              </w:rPr>
            </w:pPr>
            <w:r>
              <w:rPr>
                <w:rFonts w:ascii="Verdana" w:hAnsi="Verdana"/>
              </w:rPr>
              <w:t>(p41)</w:t>
            </w:r>
          </w:p>
        </w:tc>
        <w:tc>
          <w:tcPr>
            <w:tcW w:w="3235" w:type="dxa"/>
          </w:tcPr>
          <w:p w14:paraId="7E800668" w14:textId="2C84355D" w:rsidR="00577670" w:rsidRDefault="00A0199B" w:rsidP="00A0199B">
            <w:pPr>
              <w:rPr>
                <w:rFonts w:ascii="Verdana" w:hAnsi="Verdana"/>
              </w:rPr>
            </w:pPr>
            <w:r w:rsidRPr="2A78D7A4">
              <w:rPr>
                <w:rFonts w:ascii="Verdana" w:hAnsi="Verdana"/>
              </w:rPr>
              <w:t xml:space="preserve">Retain the maximum number of credits within a level that can be condoned but suspension of the requirement to attempt all items of assessment within a module to be eligible for </w:t>
            </w:r>
            <w:proofErr w:type="spellStart"/>
            <w:r w:rsidRPr="2A78D7A4">
              <w:rPr>
                <w:rFonts w:ascii="Verdana" w:hAnsi="Verdana"/>
              </w:rPr>
              <w:t>c</w:t>
            </w:r>
            <w:r w:rsidR="0EC88E67" w:rsidRPr="2A78D7A4">
              <w:rPr>
                <w:rFonts w:ascii="Verdana" w:hAnsi="Verdana"/>
              </w:rPr>
              <w:t>ondonement</w:t>
            </w:r>
            <w:proofErr w:type="spellEnd"/>
            <w:r w:rsidRPr="2A78D7A4">
              <w:rPr>
                <w:rFonts w:ascii="Verdana" w:hAnsi="Verdana"/>
              </w:rPr>
              <w:t>.</w:t>
            </w:r>
            <w:r w:rsidR="0EC88E67" w:rsidRPr="2A78D7A4">
              <w:rPr>
                <w:rFonts w:ascii="Verdana" w:hAnsi="Verdana"/>
              </w:rPr>
              <w:t xml:space="preserve"> </w:t>
            </w:r>
          </w:p>
          <w:p w14:paraId="096985A5" w14:textId="063D7361" w:rsidR="00A0199B" w:rsidRDefault="00A0199B" w:rsidP="00A0199B">
            <w:pPr>
              <w:rPr>
                <w:rFonts w:ascii="Verdana" w:hAnsi="Verdana"/>
              </w:rPr>
            </w:pPr>
          </w:p>
        </w:tc>
        <w:tc>
          <w:tcPr>
            <w:tcW w:w="3634" w:type="dxa"/>
          </w:tcPr>
          <w:p w14:paraId="2DE1152B" w14:textId="6766067A" w:rsidR="00A0199B" w:rsidRDefault="00A0199B" w:rsidP="00A0199B">
            <w:pPr>
              <w:rPr>
                <w:rFonts w:ascii="Verdana" w:hAnsi="Verdana"/>
              </w:rPr>
            </w:pPr>
            <w:r>
              <w:rPr>
                <w:rFonts w:ascii="Verdana" w:hAnsi="Verdana"/>
              </w:rPr>
              <w:t>As mitigating circumstances processes will be suspended temporarily and students will have additional opportunities to submit, it cannot be assumed that a non-submission grade demonstrates lack of student engagement.</w:t>
            </w:r>
          </w:p>
          <w:p w14:paraId="36E311C3" w14:textId="77777777" w:rsidR="00577670" w:rsidRPr="1EA863F9" w:rsidRDefault="00577670" w:rsidP="00221DD4">
            <w:pPr>
              <w:rPr>
                <w:rFonts w:ascii="Verdana" w:hAnsi="Verdana"/>
              </w:rPr>
            </w:pPr>
          </w:p>
        </w:tc>
      </w:tr>
      <w:tr w:rsidR="00A251C3" w14:paraId="57D28A1F" w14:textId="2C842267" w:rsidTr="0019765E">
        <w:tc>
          <w:tcPr>
            <w:tcW w:w="560" w:type="dxa"/>
          </w:tcPr>
          <w:p w14:paraId="26AEA11E" w14:textId="49B88549" w:rsidR="00577670" w:rsidRDefault="00A0199B" w:rsidP="00221DD4">
            <w:pPr>
              <w:rPr>
                <w:rFonts w:ascii="Verdana" w:hAnsi="Verdana"/>
              </w:rPr>
            </w:pPr>
            <w:r>
              <w:rPr>
                <w:rFonts w:ascii="Verdana" w:hAnsi="Verdana"/>
              </w:rPr>
              <w:t>7</w:t>
            </w:r>
          </w:p>
        </w:tc>
        <w:tc>
          <w:tcPr>
            <w:tcW w:w="1587" w:type="dxa"/>
          </w:tcPr>
          <w:p w14:paraId="2F8CC12B" w14:textId="4C95B787" w:rsidR="00577670" w:rsidRDefault="00577670" w:rsidP="00221DD4">
            <w:pPr>
              <w:rPr>
                <w:rFonts w:ascii="Verdana" w:hAnsi="Verdana"/>
              </w:rPr>
            </w:pPr>
            <w:r>
              <w:rPr>
                <w:rFonts w:ascii="Verdana" w:hAnsi="Verdana"/>
              </w:rPr>
              <w:t xml:space="preserve">3.7.2 </w:t>
            </w:r>
          </w:p>
          <w:p w14:paraId="2F742099" w14:textId="2817DC31" w:rsidR="00577670" w:rsidRDefault="00577670" w:rsidP="00221DD4">
            <w:pPr>
              <w:rPr>
                <w:rFonts w:ascii="Verdana" w:hAnsi="Verdana"/>
              </w:rPr>
            </w:pPr>
            <w:r>
              <w:rPr>
                <w:rFonts w:ascii="Verdana" w:hAnsi="Verdana"/>
              </w:rPr>
              <w:t>(p39)</w:t>
            </w:r>
          </w:p>
        </w:tc>
        <w:tc>
          <w:tcPr>
            <w:tcW w:w="3235" w:type="dxa"/>
          </w:tcPr>
          <w:p w14:paraId="55E37382" w14:textId="77777777" w:rsidR="00A0199B" w:rsidRDefault="00A0199B" w:rsidP="00221DD4">
            <w:pPr>
              <w:rPr>
                <w:rFonts w:ascii="Verdana" w:hAnsi="Verdana"/>
              </w:rPr>
            </w:pPr>
            <w:r>
              <w:rPr>
                <w:rFonts w:ascii="Verdana" w:hAnsi="Verdana"/>
              </w:rPr>
              <w:t>Accumulated failure levels will remain in place. However:</w:t>
            </w:r>
          </w:p>
          <w:p w14:paraId="6E01E627" w14:textId="77777777" w:rsidR="00A0199B" w:rsidRDefault="00A0199B" w:rsidP="00221DD4">
            <w:pPr>
              <w:rPr>
                <w:rFonts w:ascii="Verdana" w:hAnsi="Verdana"/>
              </w:rPr>
            </w:pPr>
          </w:p>
          <w:p w14:paraId="40D8E180" w14:textId="6604214A" w:rsidR="00577670" w:rsidRPr="00A0199B" w:rsidRDefault="0EC88E67" w:rsidP="00A0199B">
            <w:pPr>
              <w:pStyle w:val="ListParagraph"/>
              <w:numPr>
                <w:ilvl w:val="0"/>
                <w:numId w:val="4"/>
              </w:numPr>
              <w:rPr>
                <w:rFonts w:ascii="Verdana" w:hAnsi="Verdana"/>
              </w:rPr>
            </w:pPr>
            <w:r w:rsidRPr="2A78D7A4">
              <w:rPr>
                <w:rFonts w:ascii="Verdana" w:hAnsi="Verdana"/>
              </w:rPr>
              <w:t xml:space="preserve">Any modules failed due to assessments taken after 20 March 2020 will be discounted from the accumulated failure count.  Students will still need to repeat failed modules but the failure will not count against them.  </w:t>
            </w:r>
          </w:p>
          <w:p w14:paraId="1F779F17" w14:textId="7D2D0470" w:rsidR="00577670" w:rsidRDefault="00577670" w:rsidP="00221DD4">
            <w:pPr>
              <w:rPr>
                <w:rFonts w:ascii="Verdana" w:hAnsi="Verdana"/>
              </w:rPr>
            </w:pPr>
          </w:p>
          <w:p w14:paraId="1513518C" w14:textId="5A61F60A" w:rsidR="00577670" w:rsidRDefault="0B6AA19C" w:rsidP="00221DD4">
            <w:pPr>
              <w:rPr>
                <w:rFonts w:ascii="Verdana" w:hAnsi="Verdana"/>
              </w:rPr>
            </w:pPr>
            <w:r w:rsidRPr="36CD3B22">
              <w:rPr>
                <w:rFonts w:ascii="Verdana" w:hAnsi="Verdana"/>
              </w:rPr>
              <w:t xml:space="preserve">NB </w:t>
            </w:r>
            <w:r w:rsidR="172D200A" w:rsidRPr="36CD3B22">
              <w:rPr>
                <w:rFonts w:ascii="Verdana" w:hAnsi="Verdana"/>
              </w:rPr>
              <w:t>provisional grades for module</w:t>
            </w:r>
            <w:r w:rsidRPr="36CD3B22">
              <w:rPr>
                <w:rFonts w:ascii="Verdana" w:hAnsi="Verdana"/>
              </w:rPr>
              <w:t>s</w:t>
            </w:r>
            <w:r w:rsidR="172D200A" w:rsidRPr="36CD3B22">
              <w:rPr>
                <w:rFonts w:ascii="Verdana" w:hAnsi="Verdana"/>
              </w:rPr>
              <w:t xml:space="preserve"> that students had already failed prior to 20 March 2020 (either because these modules are </w:t>
            </w:r>
            <w:proofErr w:type="spellStart"/>
            <w:r w:rsidR="172D200A" w:rsidRPr="36CD3B22">
              <w:rPr>
                <w:rFonts w:ascii="Verdana" w:hAnsi="Verdana"/>
              </w:rPr>
              <w:t>semesterised</w:t>
            </w:r>
            <w:proofErr w:type="spellEnd"/>
            <w:r w:rsidR="172D200A" w:rsidRPr="36CD3B22">
              <w:rPr>
                <w:rFonts w:ascii="Verdana" w:hAnsi="Verdana"/>
              </w:rPr>
              <w:t xml:space="preserve"> or because their grade profile </w:t>
            </w:r>
            <w:r w:rsidRPr="36CD3B22">
              <w:rPr>
                <w:rFonts w:ascii="Verdana" w:hAnsi="Verdana"/>
              </w:rPr>
              <w:t>due to assessments taken prior to 20 March 2020</w:t>
            </w:r>
            <w:r w:rsidR="172D200A" w:rsidRPr="36CD3B22">
              <w:rPr>
                <w:rFonts w:ascii="Verdana" w:hAnsi="Verdana"/>
              </w:rPr>
              <w:t xml:space="preserve"> means they cannot pass the module) will still be considered within the accumulated failure count.  Where students </w:t>
            </w:r>
            <w:r w:rsidR="00611B04">
              <w:rPr>
                <w:rFonts w:ascii="Verdana" w:hAnsi="Verdana"/>
              </w:rPr>
              <w:t>have a profile of non-engagement with assessments and learning across the year</w:t>
            </w:r>
            <w:r w:rsidR="172D200A" w:rsidRPr="36CD3B22">
              <w:rPr>
                <w:rFonts w:ascii="Verdana" w:hAnsi="Verdana"/>
              </w:rPr>
              <w:t xml:space="preserve"> </w:t>
            </w:r>
            <w:r w:rsidR="00611B04">
              <w:rPr>
                <w:rFonts w:ascii="Verdana" w:hAnsi="Verdana"/>
              </w:rPr>
              <w:t xml:space="preserve">they may also </w:t>
            </w:r>
            <w:r w:rsidR="172D200A" w:rsidRPr="36CD3B22">
              <w:rPr>
                <w:rFonts w:ascii="Verdana" w:hAnsi="Verdana"/>
              </w:rPr>
              <w:t>still be considered for termination under the accumulated failure regulation (if the levels are breached)</w:t>
            </w:r>
            <w:r w:rsidRPr="36CD3B22">
              <w:rPr>
                <w:rFonts w:ascii="Verdana" w:hAnsi="Verdana"/>
              </w:rPr>
              <w:t>.</w:t>
            </w:r>
          </w:p>
          <w:p w14:paraId="73532580" w14:textId="1DE0C8FA" w:rsidR="00577670" w:rsidRDefault="00577670" w:rsidP="00FE32DF">
            <w:pPr>
              <w:rPr>
                <w:rFonts w:ascii="Verdana" w:hAnsi="Verdana"/>
              </w:rPr>
            </w:pPr>
          </w:p>
        </w:tc>
        <w:tc>
          <w:tcPr>
            <w:tcW w:w="3634" w:type="dxa"/>
          </w:tcPr>
          <w:p w14:paraId="64288DAD" w14:textId="29F4FCB3" w:rsidR="00577670" w:rsidRPr="1EA863F9" w:rsidRDefault="00A0199B" w:rsidP="00221DD4">
            <w:pPr>
              <w:rPr>
                <w:rFonts w:ascii="Verdana" w:hAnsi="Verdana"/>
              </w:rPr>
            </w:pPr>
            <w:r>
              <w:rPr>
                <w:rFonts w:ascii="Verdana" w:hAnsi="Verdana"/>
              </w:rPr>
              <w:lastRenderedPageBreak/>
              <w:t xml:space="preserve">Ensures that students who have failed </w:t>
            </w:r>
            <w:r w:rsidRPr="00A0199B">
              <w:rPr>
                <w:rFonts w:ascii="Verdana" w:hAnsi="Verdana"/>
                <w:b/>
              </w:rPr>
              <w:t>because of</w:t>
            </w:r>
            <w:r>
              <w:rPr>
                <w:rFonts w:ascii="Verdana" w:hAnsi="Verdana"/>
              </w:rPr>
              <w:t xml:space="preserve"> the impact of Covid-19 will not have their programme registration terminated but ensures continued standards by requiring any failures to be retrieved </w:t>
            </w:r>
            <w:proofErr w:type="gramStart"/>
            <w:r>
              <w:rPr>
                <w:rFonts w:ascii="Verdana" w:hAnsi="Verdana"/>
              </w:rPr>
              <w:t>and also</w:t>
            </w:r>
            <w:proofErr w:type="gramEnd"/>
            <w:r>
              <w:rPr>
                <w:rFonts w:ascii="Verdana" w:hAnsi="Verdana"/>
              </w:rPr>
              <w:t xml:space="preserve"> by continuing to process terminations for those students whose failure was not as a result of Covid-19.</w:t>
            </w:r>
          </w:p>
        </w:tc>
      </w:tr>
      <w:tr w:rsidR="00A251C3" w14:paraId="50642295" w14:textId="7C0FC17E" w:rsidTr="0019765E">
        <w:tc>
          <w:tcPr>
            <w:tcW w:w="560" w:type="dxa"/>
          </w:tcPr>
          <w:p w14:paraId="027D333B" w14:textId="368F20D1" w:rsidR="00577670" w:rsidRDefault="00A0199B" w:rsidP="00221DD4">
            <w:pPr>
              <w:rPr>
                <w:rFonts w:ascii="Verdana" w:hAnsi="Verdana"/>
              </w:rPr>
            </w:pPr>
            <w:r>
              <w:rPr>
                <w:rFonts w:ascii="Verdana" w:hAnsi="Verdana"/>
              </w:rPr>
              <w:t>8</w:t>
            </w:r>
          </w:p>
        </w:tc>
        <w:tc>
          <w:tcPr>
            <w:tcW w:w="1587" w:type="dxa"/>
          </w:tcPr>
          <w:p w14:paraId="1F087E5C" w14:textId="1DD4A9A7" w:rsidR="00577670" w:rsidRDefault="00577670" w:rsidP="00221DD4">
            <w:pPr>
              <w:rPr>
                <w:rFonts w:ascii="Verdana" w:hAnsi="Verdana"/>
              </w:rPr>
            </w:pPr>
            <w:r>
              <w:rPr>
                <w:rFonts w:ascii="Verdana" w:hAnsi="Verdana"/>
              </w:rPr>
              <w:t>3.10.9</w:t>
            </w:r>
          </w:p>
          <w:p w14:paraId="4309B362" w14:textId="10D8A5D8" w:rsidR="00577670" w:rsidRDefault="00577670" w:rsidP="00221DD4">
            <w:pPr>
              <w:rPr>
                <w:rFonts w:ascii="Verdana" w:hAnsi="Verdana"/>
              </w:rPr>
            </w:pPr>
            <w:r>
              <w:rPr>
                <w:rFonts w:ascii="Verdana" w:hAnsi="Verdana"/>
              </w:rPr>
              <w:t>(p45)</w:t>
            </w:r>
          </w:p>
        </w:tc>
        <w:tc>
          <w:tcPr>
            <w:tcW w:w="3235" w:type="dxa"/>
          </w:tcPr>
          <w:p w14:paraId="6633948F" w14:textId="28A2AA54" w:rsidR="00577670" w:rsidRDefault="00A0199B" w:rsidP="00221DD4">
            <w:pPr>
              <w:rPr>
                <w:rFonts w:ascii="Verdana" w:hAnsi="Verdana"/>
              </w:rPr>
            </w:pPr>
            <w:r>
              <w:rPr>
                <w:rFonts w:ascii="Verdana" w:hAnsi="Verdana"/>
              </w:rPr>
              <w:t>A new s</w:t>
            </w:r>
            <w:r w:rsidR="0EC88E67">
              <w:rPr>
                <w:rFonts w:ascii="Verdana" w:hAnsi="Verdana"/>
              </w:rPr>
              <w:t>tudy brea</w:t>
            </w:r>
            <w:r>
              <w:rPr>
                <w:rFonts w:ascii="Verdana" w:hAnsi="Verdana"/>
              </w:rPr>
              <w:t>k category will be implemented, where a study break is required because of the impact of Covid-19. This will be subject to different rules from the standard study break category</w:t>
            </w:r>
            <w:r>
              <w:rPr>
                <w:rStyle w:val="FootnoteReference"/>
                <w:rFonts w:ascii="Verdana" w:hAnsi="Verdana"/>
              </w:rPr>
              <w:footnoteReference w:id="6"/>
            </w:r>
            <w:r w:rsidR="0EC88E67">
              <w:rPr>
                <w:rFonts w:ascii="Verdana" w:hAnsi="Verdana"/>
              </w:rPr>
              <w:t>.</w:t>
            </w:r>
          </w:p>
          <w:p w14:paraId="63D7299C" w14:textId="1A204C61" w:rsidR="00577670" w:rsidRDefault="00577670" w:rsidP="00221DD4">
            <w:pPr>
              <w:rPr>
                <w:rFonts w:ascii="Verdana" w:hAnsi="Verdana"/>
              </w:rPr>
            </w:pPr>
          </w:p>
        </w:tc>
        <w:tc>
          <w:tcPr>
            <w:tcW w:w="3634" w:type="dxa"/>
          </w:tcPr>
          <w:p w14:paraId="0D766F96" w14:textId="77777777" w:rsidR="00577670" w:rsidRDefault="00A0199B" w:rsidP="00221DD4">
            <w:pPr>
              <w:rPr>
                <w:rFonts w:ascii="Verdana" w:hAnsi="Verdana"/>
              </w:rPr>
            </w:pPr>
            <w:r>
              <w:rPr>
                <w:rFonts w:ascii="Verdana" w:hAnsi="Verdana"/>
              </w:rPr>
              <w:t>To ensure that students can still utilise the standard study break regulation at a later stage and that programme registration lengths are not affected by an Covid-19-related study break</w:t>
            </w:r>
          </w:p>
          <w:p w14:paraId="037EF250" w14:textId="235BA284" w:rsidR="002D02D7" w:rsidRDefault="002D02D7" w:rsidP="00221DD4">
            <w:pPr>
              <w:rPr>
                <w:rFonts w:ascii="Verdana" w:hAnsi="Verdana"/>
              </w:rPr>
            </w:pPr>
          </w:p>
        </w:tc>
      </w:tr>
      <w:tr w:rsidR="006B4561" w14:paraId="7A050C66" w14:textId="77777777" w:rsidTr="0019765E">
        <w:tc>
          <w:tcPr>
            <w:tcW w:w="560" w:type="dxa"/>
          </w:tcPr>
          <w:p w14:paraId="3EA84408" w14:textId="2EB98BDC" w:rsidR="006B4561" w:rsidRDefault="006B4561" w:rsidP="00221DD4">
            <w:pPr>
              <w:rPr>
                <w:rFonts w:ascii="Verdana" w:hAnsi="Verdana"/>
              </w:rPr>
            </w:pPr>
            <w:r>
              <w:rPr>
                <w:rFonts w:ascii="Verdana" w:hAnsi="Verdana"/>
              </w:rPr>
              <w:t>9</w:t>
            </w:r>
          </w:p>
        </w:tc>
        <w:tc>
          <w:tcPr>
            <w:tcW w:w="1587" w:type="dxa"/>
          </w:tcPr>
          <w:p w14:paraId="5846C29E" w14:textId="2AF84A09" w:rsidR="006B4561" w:rsidRDefault="006B4561" w:rsidP="00221DD4">
            <w:pPr>
              <w:rPr>
                <w:rFonts w:ascii="Verdana" w:hAnsi="Verdana"/>
              </w:rPr>
            </w:pPr>
            <w:r>
              <w:rPr>
                <w:rFonts w:ascii="Verdana" w:hAnsi="Verdana"/>
              </w:rPr>
              <w:t>3.7.3 (p40)</w:t>
            </w:r>
          </w:p>
        </w:tc>
        <w:tc>
          <w:tcPr>
            <w:tcW w:w="3235" w:type="dxa"/>
          </w:tcPr>
          <w:p w14:paraId="297E42CC" w14:textId="123CAC8E" w:rsidR="006B4561" w:rsidRDefault="006B4561" w:rsidP="00221DD4">
            <w:pPr>
              <w:rPr>
                <w:rFonts w:ascii="Verdana" w:hAnsi="Verdana"/>
              </w:rPr>
            </w:pPr>
            <w:r>
              <w:rPr>
                <w:rFonts w:ascii="Verdana" w:hAnsi="Verdana"/>
              </w:rPr>
              <w:t>Suspension of the restriction on the number of credits from a lower level that students can study alongside credits from a higher level. Students will be able to study full-time (up to a maximum of 140 credits) if repeating failed modules, subject to any pre-requisites or other restrictions that are in place.</w:t>
            </w:r>
          </w:p>
          <w:p w14:paraId="2DA50DD4" w14:textId="35DAE48A" w:rsidR="006B4561" w:rsidRDefault="006B4561" w:rsidP="00221DD4">
            <w:pPr>
              <w:rPr>
                <w:rFonts w:ascii="Verdana" w:hAnsi="Verdana"/>
              </w:rPr>
            </w:pPr>
          </w:p>
        </w:tc>
        <w:tc>
          <w:tcPr>
            <w:tcW w:w="3634" w:type="dxa"/>
          </w:tcPr>
          <w:p w14:paraId="30103D1B" w14:textId="330DB356" w:rsidR="006B4561" w:rsidRDefault="006B4561" w:rsidP="00221DD4">
            <w:pPr>
              <w:rPr>
                <w:rFonts w:ascii="Verdana" w:hAnsi="Verdana"/>
              </w:rPr>
            </w:pPr>
            <w:r>
              <w:rPr>
                <w:rFonts w:ascii="Verdana" w:hAnsi="Verdana"/>
              </w:rPr>
              <w:t xml:space="preserve">This provides additional flexibility for students who are having to repeat modules due to failure exacerbated by the Covid-19 pandemic.  It also enables as many students as possible to continue with full-time study. </w:t>
            </w:r>
          </w:p>
        </w:tc>
      </w:tr>
    </w:tbl>
    <w:p w14:paraId="3004EB86" w14:textId="77777777" w:rsidR="00221DD4" w:rsidRDefault="00221DD4" w:rsidP="00221DD4">
      <w:pPr>
        <w:spacing w:after="0"/>
        <w:rPr>
          <w:rFonts w:ascii="Verdana" w:hAnsi="Verdana"/>
        </w:rPr>
      </w:pPr>
    </w:p>
    <w:p w14:paraId="08D90351" w14:textId="64475CE1" w:rsidR="00192E57" w:rsidRPr="00C33832" w:rsidRDefault="00C33832" w:rsidP="00192E57">
      <w:pPr>
        <w:spacing w:after="0"/>
        <w:rPr>
          <w:rFonts w:ascii="Verdana" w:hAnsi="Verdana"/>
          <w:u w:val="single"/>
        </w:rPr>
      </w:pPr>
      <w:r w:rsidRPr="00C33832">
        <w:rPr>
          <w:rFonts w:ascii="Verdana" w:hAnsi="Verdana"/>
          <w:u w:val="single"/>
        </w:rPr>
        <w:t xml:space="preserve">For Level 8 </w:t>
      </w:r>
      <w:r w:rsidR="00A0199B">
        <w:rPr>
          <w:rFonts w:ascii="Verdana" w:hAnsi="Verdana"/>
          <w:u w:val="single"/>
        </w:rPr>
        <w:t>postgraduate research students</w:t>
      </w:r>
    </w:p>
    <w:p w14:paraId="0E5D25DF" w14:textId="77777777" w:rsidR="00741A88" w:rsidRDefault="00741A88" w:rsidP="00741A88">
      <w:pPr>
        <w:spacing w:after="0"/>
        <w:rPr>
          <w:rFonts w:ascii="Verdana" w:hAnsi="Verdana"/>
        </w:rPr>
      </w:pPr>
    </w:p>
    <w:p w14:paraId="45F24BC6" w14:textId="07AF7959" w:rsidR="00741A88" w:rsidRDefault="00741A88" w:rsidP="00741A88">
      <w:pPr>
        <w:spacing w:after="0"/>
        <w:rPr>
          <w:rFonts w:ascii="Verdana" w:hAnsi="Verdana"/>
        </w:rPr>
      </w:pPr>
      <w:proofErr w:type="gramStart"/>
      <w:r>
        <w:rPr>
          <w:rFonts w:ascii="Verdana" w:hAnsi="Verdana"/>
        </w:rPr>
        <w:t>With the exception of</w:t>
      </w:r>
      <w:proofErr w:type="gramEnd"/>
      <w:r>
        <w:rPr>
          <w:rFonts w:ascii="Verdana" w:hAnsi="Verdana"/>
        </w:rPr>
        <w:t xml:space="preserve"> the regulations associated with the facilitated modules (see below), the regulations for this component do not require adjustment.  A temporary revision to the PGR Thesis and Examination Policy has been made. Other issues will be managed on a case by case basis and documented appropriately. </w:t>
      </w:r>
    </w:p>
    <w:p w14:paraId="6A5307BF" w14:textId="77777777" w:rsidR="00741A88" w:rsidRDefault="00741A88" w:rsidP="00192E57">
      <w:pPr>
        <w:spacing w:after="0"/>
        <w:rPr>
          <w:rFonts w:ascii="Verdana" w:hAnsi="Verdana"/>
        </w:rPr>
      </w:pPr>
    </w:p>
    <w:p w14:paraId="48E1C6D8" w14:textId="24A3F61C" w:rsidR="00DC127D" w:rsidRPr="000331FD" w:rsidRDefault="0019765E" w:rsidP="00DC127D">
      <w:pPr>
        <w:spacing w:after="0"/>
        <w:rPr>
          <w:rFonts w:ascii="Verdana" w:hAnsi="Verdana"/>
          <w:i/>
          <w:u w:val="single"/>
        </w:rPr>
      </w:pPr>
      <w:r w:rsidRPr="000331FD">
        <w:rPr>
          <w:rFonts w:ascii="Verdana" w:hAnsi="Verdana"/>
          <w:i/>
          <w:u w:val="single"/>
        </w:rPr>
        <w:t>F</w:t>
      </w:r>
      <w:r w:rsidR="00DC127D" w:rsidRPr="000331FD">
        <w:rPr>
          <w:rFonts w:ascii="Verdana" w:hAnsi="Verdana"/>
          <w:i/>
          <w:u w:val="single"/>
        </w:rPr>
        <w:t>acilitated modules</w:t>
      </w:r>
      <w:r w:rsidR="00AF58D0" w:rsidRPr="000331FD">
        <w:rPr>
          <w:rFonts w:ascii="Verdana" w:hAnsi="Verdana"/>
          <w:i/>
          <w:u w:val="single"/>
        </w:rPr>
        <w:t xml:space="preserve"> [relevant </w:t>
      </w:r>
      <w:r w:rsidR="00741A88" w:rsidRPr="000331FD">
        <w:rPr>
          <w:rFonts w:ascii="Verdana" w:hAnsi="Verdana"/>
          <w:i/>
          <w:u w:val="single"/>
        </w:rPr>
        <w:t xml:space="preserve">only </w:t>
      </w:r>
      <w:r w:rsidR="00AF58D0" w:rsidRPr="000331FD">
        <w:rPr>
          <w:rFonts w:ascii="Verdana" w:hAnsi="Verdana"/>
          <w:i/>
          <w:u w:val="single"/>
        </w:rPr>
        <w:t>to students studying for a Doctor of Business Administration</w:t>
      </w:r>
      <w:r w:rsidR="00741A88" w:rsidRPr="000331FD">
        <w:rPr>
          <w:rFonts w:ascii="Verdana" w:hAnsi="Verdana"/>
          <w:i/>
          <w:u w:val="single"/>
        </w:rPr>
        <w:t xml:space="preserve"> (DBA)</w:t>
      </w:r>
      <w:r w:rsidR="00AF58D0" w:rsidRPr="000331FD">
        <w:rPr>
          <w:rFonts w:ascii="Verdana" w:hAnsi="Verdana"/>
          <w:i/>
          <w:u w:val="single"/>
        </w:rPr>
        <w:t xml:space="preserve"> and a Doctor of Professional Practice</w:t>
      </w:r>
      <w:r w:rsidR="00741A88" w:rsidRPr="000331FD">
        <w:rPr>
          <w:rFonts w:ascii="Verdana" w:hAnsi="Verdana"/>
          <w:i/>
          <w:u w:val="single"/>
        </w:rPr>
        <w:t xml:space="preserve"> (</w:t>
      </w:r>
      <w:proofErr w:type="spellStart"/>
      <w:r w:rsidR="00741A88" w:rsidRPr="000331FD">
        <w:rPr>
          <w:rFonts w:ascii="Verdana" w:hAnsi="Verdana"/>
          <w:i/>
          <w:u w:val="single"/>
        </w:rPr>
        <w:t>DProfPrac</w:t>
      </w:r>
      <w:proofErr w:type="spellEnd"/>
      <w:r w:rsidR="00741A88" w:rsidRPr="000331FD">
        <w:rPr>
          <w:rFonts w:ascii="Verdana" w:hAnsi="Verdana"/>
          <w:i/>
          <w:u w:val="single"/>
        </w:rPr>
        <w:t>)</w:t>
      </w:r>
      <w:r w:rsidR="00AF58D0" w:rsidRPr="000331FD">
        <w:rPr>
          <w:rFonts w:ascii="Verdana" w:hAnsi="Verdana"/>
          <w:i/>
          <w:u w:val="single"/>
        </w:rPr>
        <w:t>]</w:t>
      </w:r>
      <w:r w:rsidR="00DC127D" w:rsidRPr="000331FD">
        <w:rPr>
          <w:rFonts w:ascii="Verdana" w:hAnsi="Verdana"/>
          <w:i/>
          <w:u w:val="single"/>
        </w:rPr>
        <w:t xml:space="preserve"> </w:t>
      </w:r>
    </w:p>
    <w:p w14:paraId="189634B2" w14:textId="77777777" w:rsidR="00DC127D" w:rsidRDefault="00DC127D" w:rsidP="00DC127D">
      <w:pPr>
        <w:spacing w:after="0"/>
        <w:rPr>
          <w:rFonts w:ascii="Verdana" w:hAnsi="Verdana"/>
        </w:rPr>
      </w:pPr>
    </w:p>
    <w:tbl>
      <w:tblPr>
        <w:tblStyle w:val="TableGrid"/>
        <w:tblW w:w="9067" w:type="dxa"/>
        <w:tblLook w:val="04A0" w:firstRow="1" w:lastRow="0" w:firstColumn="1" w:lastColumn="0" w:noHBand="0" w:noVBand="1"/>
      </w:tblPr>
      <w:tblGrid>
        <w:gridCol w:w="562"/>
        <w:gridCol w:w="1701"/>
        <w:gridCol w:w="3119"/>
        <w:gridCol w:w="3685"/>
      </w:tblGrid>
      <w:tr w:rsidR="00DC127D" w14:paraId="3C3813C4" w14:textId="77777777" w:rsidTr="0019765E">
        <w:trPr>
          <w:tblHeader/>
        </w:trPr>
        <w:tc>
          <w:tcPr>
            <w:tcW w:w="562" w:type="dxa"/>
          </w:tcPr>
          <w:p w14:paraId="55705D8A" w14:textId="77777777" w:rsidR="00DC127D" w:rsidRPr="00221DD4" w:rsidRDefault="00DC127D" w:rsidP="00713636">
            <w:pPr>
              <w:rPr>
                <w:rFonts w:ascii="Verdana" w:hAnsi="Verdana"/>
                <w:b/>
              </w:rPr>
            </w:pPr>
          </w:p>
        </w:tc>
        <w:tc>
          <w:tcPr>
            <w:tcW w:w="1701" w:type="dxa"/>
          </w:tcPr>
          <w:p w14:paraId="52C15EE8" w14:textId="77777777" w:rsidR="00DC127D" w:rsidRPr="00221DD4" w:rsidRDefault="00DC127D" w:rsidP="00713636">
            <w:pPr>
              <w:rPr>
                <w:rFonts w:ascii="Verdana" w:hAnsi="Verdana"/>
                <w:b/>
              </w:rPr>
            </w:pPr>
            <w:r w:rsidRPr="00221DD4">
              <w:rPr>
                <w:rFonts w:ascii="Verdana" w:hAnsi="Verdana"/>
                <w:b/>
              </w:rPr>
              <w:t>Current regulation</w:t>
            </w:r>
            <w:r>
              <w:rPr>
                <w:rStyle w:val="FootnoteReference"/>
                <w:rFonts w:ascii="Verdana" w:hAnsi="Verdana"/>
                <w:b/>
              </w:rPr>
              <w:footnoteReference w:id="7"/>
            </w:r>
          </w:p>
        </w:tc>
        <w:tc>
          <w:tcPr>
            <w:tcW w:w="3119" w:type="dxa"/>
          </w:tcPr>
          <w:p w14:paraId="5F62DA13" w14:textId="77777777" w:rsidR="00DC127D" w:rsidRDefault="00DC127D" w:rsidP="00713636">
            <w:pPr>
              <w:rPr>
                <w:rFonts w:ascii="Verdana" w:hAnsi="Verdana"/>
                <w:b/>
                <w:bCs/>
              </w:rPr>
            </w:pPr>
            <w:r w:rsidRPr="1EA863F9">
              <w:rPr>
                <w:rFonts w:ascii="Verdana" w:hAnsi="Verdana"/>
                <w:b/>
                <w:bCs/>
              </w:rPr>
              <w:t xml:space="preserve">Emergency Regulation </w:t>
            </w:r>
          </w:p>
          <w:p w14:paraId="6E54E50A" w14:textId="77777777" w:rsidR="00DC127D" w:rsidRPr="00221DD4" w:rsidRDefault="00DC127D" w:rsidP="00713636">
            <w:pPr>
              <w:rPr>
                <w:rFonts w:ascii="Verdana" w:hAnsi="Verdana"/>
                <w:b/>
              </w:rPr>
            </w:pPr>
          </w:p>
        </w:tc>
        <w:tc>
          <w:tcPr>
            <w:tcW w:w="3685" w:type="dxa"/>
          </w:tcPr>
          <w:p w14:paraId="49E39E2D" w14:textId="77777777" w:rsidR="00DC127D" w:rsidRPr="1EA863F9" w:rsidRDefault="00DC127D" w:rsidP="00713636">
            <w:pPr>
              <w:rPr>
                <w:rFonts w:ascii="Verdana" w:hAnsi="Verdana"/>
                <w:b/>
                <w:bCs/>
              </w:rPr>
            </w:pPr>
            <w:r>
              <w:rPr>
                <w:rFonts w:ascii="Verdana" w:hAnsi="Verdana"/>
                <w:b/>
                <w:bCs/>
              </w:rPr>
              <w:t>Rationale for change</w:t>
            </w:r>
          </w:p>
        </w:tc>
      </w:tr>
      <w:tr w:rsidR="00DC127D" w14:paraId="744C4E58" w14:textId="77777777" w:rsidTr="0019765E">
        <w:tc>
          <w:tcPr>
            <w:tcW w:w="562" w:type="dxa"/>
          </w:tcPr>
          <w:p w14:paraId="6BB7FB07" w14:textId="710745E9" w:rsidR="00DC127D" w:rsidRDefault="00A251C3" w:rsidP="00713636">
            <w:pPr>
              <w:rPr>
                <w:rFonts w:ascii="Verdana" w:hAnsi="Verdana"/>
              </w:rPr>
            </w:pPr>
            <w:r>
              <w:rPr>
                <w:rFonts w:ascii="Verdana" w:hAnsi="Verdana"/>
              </w:rPr>
              <w:t>A</w:t>
            </w:r>
          </w:p>
        </w:tc>
        <w:tc>
          <w:tcPr>
            <w:tcW w:w="1701" w:type="dxa"/>
          </w:tcPr>
          <w:p w14:paraId="0C263E4C" w14:textId="77777777" w:rsidR="00DC127D" w:rsidRDefault="00DC127D" w:rsidP="00713636">
            <w:pPr>
              <w:rPr>
                <w:rFonts w:ascii="Verdana" w:hAnsi="Verdana"/>
              </w:rPr>
            </w:pPr>
            <w:r>
              <w:rPr>
                <w:rFonts w:ascii="Verdana" w:hAnsi="Verdana"/>
              </w:rPr>
              <w:t>3.5.11</w:t>
            </w:r>
          </w:p>
          <w:p w14:paraId="32309BBD" w14:textId="77777777" w:rsidR="00DC127D" w:rsidRDefault="00DC127D" w:rsidP="00713636">
            <w:pPr>
              <w:rPr>
                <w:rFonts w:ascii="Verdana" w:hAnsi="Verdana"/>
              </w:rPr>
            </w:pPr>
            <w:r>
              <w:rPr>
                <w:rFonts w:ascii="Verdana" w:hAnsi="Verdana"/>
              </w:rPr>
              <w:t>(p38)</w:t>
            </w:r>
          </w:p>
          <w:p w14:paraId="0DD368FF" w14:textId="77777777" w:rsidR="00DC127D" w:rsidRDefault="00DC127D" w:rsidP="00713636">
            <w:pPr>
              <w:rPr>
                <w:rFonts w:ascii="Verdana" w:hAnsi="Verdana"/>
              </w:rPr>
            </w:pPr>
          </w:p>
          <w:p w14:paraId="026FAF1F" w14:textId="77777777" w:rsidR="00DC127D" w:rsidRDefault="00DC127D" w:rsidP="00713636">
            <w:pPr>
              <w:rPr>
                <w:rFonts w:ascii="Verdana" w:hAnsi="Verdana"/>
              </w:rPr>
            </w:pPr>
            <w:r>
              <w:rPr>
                <w:rFonts w:ascii="Verdana" w:hAnsi="Verdana"/>
              </w:rPr>
              <w:lastRenderedPageBreak/>
              <w:t>3.10.2-3.10.8</w:t>
            </w:r>
          </w:p>
          <w:p w14:paraId="119DD962" w14:textId="77777777" w:rsidR="00DC127D" w:rsidRDefault="00DC127D" w:rsidP="00713636">
            <w:pPr>
              <w:rPr>
                <w:rFonts w:ascii="Verdana" w:hAnsi="Verdana"/>
              </w:rPr>
            </w:pPr>
            <w:r>
              <w:rPr>
                <w:rFonts w:ascii="Verdana" w:hAnsi="Verdana"/>
              </w:rPr>
              <w:t>(p44-5)</w:t>
            </w:r>
          </w:p>
        </w:tc>
        <w:tc>
          <w:tcPr>
            <w:tcW w:w="3119" w:type="dxa"/>
          </w:tcPr>
          <w:p w14:paraId="6FA94304" w14:textId="77777777" w:rsidR="00DC127D" w:rsidRDefault="00DC127D" w:rsidP="00713636">
            <w:pPr>
              <w:rPr>
                <w:rFonts w:ascii="Verdana" w:hAnsi="Verdana"/>
              </w:rPr>
            </w:pPr>
            <w:r w:rsidRPr="2A78D7A4">
              <w:rPr>
                <w:rFonts w:ascii="Verdana" w:hAnsi="Verdana"/>
              </w:rPr>
              <w:lastRenderedPageBreak/>
              <w:t xml:space="preserve">Suspension of student-led Mitigating Circumstances and Extensions processes </w:t>
            </w:r>
            <w:r w:rsidRPr="2A78D7A4">
              <w:rPr>
                <w:rFonts w:ascii="Verdana" w:hAnsi="Verdana"/>
              </w:rPr>
              <w:lastRenderedPageBreak/>
              <w:t xml:space="preserve">for all assessments </w:t>
            </w:r>
            <w:r>
              <w:rPr>
                <w:rFonts w:ascii="Verdana" w:hAnsi="Verdana"/>
              </w:rPr>
              <w:t>with a deadline</w:t>
            </w:r>
            <w:r w:rsidRPr="2A78D7A4">
              <w:rPr>
                <w:rFonts w:ascii="Verdana" w:hAnsi="Verdana"/>
              </w:rPr>
              <w:t xml:space="preserve"> after 20 March 2020</w:t>
            </w:r>
          </w:p>
          <w:p w14:paraId="4B7CED0F" w14:textId="77777777" w:rsidR="00DC127D" w:rsidRDefault="00DC127D" w:rsidP="00713636">
            <w:pPr>
              <w:rPr>
                <w:rFonts w:ascii="Verdana" w:hAnsi="Verdana"/>
              </w:rPr>
            </w:pPr>
          </w:p>
          <w:p w14:paraId="129F34FD" w14:textId="77777777" w:rsidR="00DC127D" w:rsidRDefault="00DC127D" w:rsidP="00713636">
            <w:pPr>
              <w:rPr>
                <w:rFonts w:ascii="Verdana" w:hAnsi="Verdana"/>
              </w:rPr>
            </w:pPr>
            <w:r>
              <w:rPr>
                <w:rFonts w:ascii="Verdana" w:hAnsi="Verdana"/>
              </w:rPr>
              <w:t>Emergency Exceptional Circumstances Process and Form for students to apply to utilise if they consider that they will still be unable to complete their teaching, learning and assessment.</w:t>
            </w:r>
            <w:r>
              <w:rPr>
                <w:rStyle w:val="FootnoteReference"/>
                <w:rFonts w:ascii="Verdana" w:hAnsi="Verdana"/>
              </w:rPr>
              <w:footnoteReference w:id="8"/>
            </w:r>
          </w:p>
        </w:tc>
        <w:tc>
          <w:tcPr>
            <w:tcW w:w="3685" w:type="dxa"/>
          </w:tcPr>
          <w:p w14:paraId="00C08DE7" w14:textId="77777777" w:rsidR="00DC127D" w:rsidRDefault="00DC127D" w:rsidP="00713636">
            <w:pPr>
              <w:rPr>
                <w:rFonts w:ascii="Verdana" w:hAnsi="Verdana"/>
              </w:rPr>
            </w:pPr>
            <w:r>
              <w:rPr>
                <w:rFonts w:ascii="Verdana" w:hAnsi="Verdana"/>
              </w:rPr>
              <w:lastRenderedPageBreak/>
              <w:t xml:space="preserve">The impact of the pandemic is widespread and will affect students in different ways.  </w:t>
            </w:r>
            <w:r>
              <w:rPr>
                <w:rFonts w:ascii="Verdana" w:hAnsi="Verdana"/>
              </w:rPr>
              <w:lastRenderedPageBreak/>
              <w:t>Continuing with standard Mitigating Circumstances and Extension processes in such an environment does not seem to meet the needs of the situation. The Exceptional Circumstances Process and Form is designed to provide students with a mechanism to apply, e.g. for deferral, if they are unable to complete even given all adjustments put in place.</w:t>
            </w:r>
          </w:p>
          <w:p w14:paraId="76108F09" w14:textId="77777777" w:rsidR="00DC127D" w:rsidRDefault="00DC127D" w:rsidP="00713636">
            <w:pPr>
              <w:rPr>
                <w:rFonts w:ascii="Verdana" w:hAnsi="Verdana"/>
              </w:rPr>
            </w:pPr>
          </w:p>
        </w:tc>
      </w:tr>
      <w:tr w:rsidR="00DC127D" w14:paraId="5492E24E" w14:textId="77777777" w:rsidTr="0019765E">
        <w:tc>
          <w:tcPr>
            <w:tcW w:w="562" w:type="dxa"/>
          </w:tcPr>
          <w:p w14:paraId="2E6677F0" w14:textId="2CB30B24" w:rsidR="00DC127D" w:rsidRDefault="00A251C3" w:rsidP="00713636">
            <w:pPr>
              <w:rPr>
                <w:rFonts w:ascii="Verdana" w:hAnsi="Verdana"/>
              </w:rPr>
            </w:pPr>
            <w:r>
              <w:rPr>
                <w:rFonts w:ascii="Verdana" w:hAnsi="Verdana"/>
              </w:rPr>
              <w:lastRenderedPageBreak/>
              <w:t>B</w:t>
            </w:r>
          </w:p>
        </w:tc>
        <w:tc>
          <w:tcPr>
            <w:tcW w:w="1701" w:type="dxa"/>
          </w:tcPr>
          <w:p w14:paraId="2C13F04E" w14:textId="77777777" w:rsidR="00DC127D" w:rsidRDefault="00DC127D" w:rsidP="00713636">
            <w:pPr>
              <w:rPr>
                <w:rFonts w:ascii="Verdana" w:hAnsi="Verdana"/>
              </w:rPr>
            </w:pPr>
            <w:r>
              <w:rPr>
                <w:rFonts w:ascii="Verdana" w:hAnsi="Verdana"/>
              </w:rPr>
              <w:t>3.7.6</w:t>
            </w:r>
          </w:p>
          <w:p w14:paraId="13F6AA12" w14:textId="77777777" w:rsidR="00DC127D" w:rsidRDefault="00DC127D" w:rsidP="00713636">
            <w:pPr>
              <w:rPr>
                <w:rFonts w:ascii="Verdana" w:hAnsi="Verdana"/>
              </w:rPr>
            </w:pPr>
            <w:r>
              <w:rPr>
                <w:rFonts w:ascii="Verdana" w:hAnsi="Verdana"/>
              </w:rPr>
              <w:t>3.7.7</w:t>
            </w:r>
          </w:p>
          <w:p w14:paraId="78E71DD2" w14:textId="77777777" w:rsidR="00DC127D" w:rsidRDefault="00DC127D" w:rsidP="00713636">
            <w:pPr>
              <w:rPr>
                <w:rFonts w:ascii="Verdana" w:hAnsi="Verdana"/>
              </w:rPr>
            </w:pPr>
            <w:r>
              <w:rPr>
                <w:rFonts w:ascii="Verdana" w:hAnsi="Verdana"/>
              </w:rPr>
              <w:t>(p40)</w:t>
            </w:r>
          </w:p>
        </w:tc>
        <w:tc>
          <w:tcPr>
            <w:tcW w:w="3119" w:type="dxa"/>
          </w:tcPr>
          <w:p w14:paraId="557004B6" w14:textId="77777777" w:rsidR="00DC127D" w:rsidRDefault="00DC127D" w:rsidP="00713636">
            <w:pPr>
              <w:rPr>
                <w:rFonts w:ascii="Verdana" w:hAnsi="Verdana"/>
              </w:rPr>
            </w:pPr>
            <w:r>
              <w:rPr>
                <w:rFonts w:ascii="Verdana" w:hAnsi="Verdana"/>
              </w:rPr>
              <w:t xml:space="preserve">For all assessments where the first opportunity deadline is </w:t>
            </w:r>
            <w:r w:rsidRPr="00A01E32">
              <w:rPr>
                <w:rFonts w:ascii="Verdana" w:hAnsi="Verdana"/>
                <w:i/>
              </w:rPr>
              <w:t>after</w:t>
            </w:r>
            <w:r>
              <w:rPr>
                <w:rFonts w:ascii="Verdana" w:hAnsi="Verdana"/>
              </w:rPr>
              <w:t xml:space="preserve"> 20 March 2020, three assessment opportunities will be provided.</w:t>
            </w:r>
          </w:p>
          <w:p w14:paraId="4571AB09" w14:textId="77777777" w:rsidR="00DC127D" w:rsidRDefault="00DC127D" w:rsidP="00713636">
            <w:pPr>
              <w:rPr>
                <w:rFonts w:ascii="Verdana" w:hAnsi="Verdana"/>
              </w:rPr>
            </w:pPr>
          </w:p>
          <w:p w14:paraId="34BB47D8" w14:textId="39212A8B" w:rsidR="00DC127D" w:rsidRDefault="00DC127D" w:rsidP="00713636">
            <w:pPr>
              <w:pStyle w:val="ListParagraph"/>
              <w:numPr>
                <w:ilvl w:val="0"/>
                <w:numId w:val="4"/>
              </w:numPr>
              <w:rPr>
                <w:rFonts w:ascii="Verdana" w:hAnsi="Verdana"/>
              </w:rPr>
            </w:pPr>
            <w:r w:rsidRPr="2F1A1475">
              <w:rPr>
                <w:rFonts w:ascii="Verdana" w:hAnsi="Verdana"/>
              </w:rPr>
              <w:t>Students can submit to a maximum of two of those opportuni</w:t>
            </w:r>
            <w:r w:rsidR="00A251C3">
              <w:rPr>
                <w:rFonts w:ascii="Verdana" w:hAnsi="Verdana"/>
              </w:rPr>
              <w:t xml:space="preserve">ties. </w:t>
            </w:r>
          </w:p>
          <w:p w14:paraId="0FBFFF91" w14:textId="77777777" w:rsidR="00DC127D" w:rsidRDefault="00DC127D" w:rsidP="00713636">
            <w:pPr>
              <w:pStyle w:val="ListParagraph"/>
              <w:ind w:left="360"/>
              <w:rPr>
                <w:rFonts w:ascii="Verdana" w:hAnsi="Verdana"/>
              </w:rPr>
            </w:pPr>
          </w:p>
          <w:p w14:paraId="1F4BB7A3" w14:textId="77777777" w:rsidR="00DC127D" w:rsidRDefault="00DC127D" w:rsidP="00713636">
            <w:pPr>
              <w:rPr>
                <w:rFonts w:ascii="Verdana" w:hAnsi="Verdana"/>
              </w:rPr>
            </w:pPr>
            <w:r w:rsidRPr="2A78D7A4">
              <w:rPr>
                <w:rFonts w:ascii="Verdana" w:hAnsi="Verdana"/>
              </w:rPr>
              <w:t>For all assessments where the first opportunity</w:t>
            </w:r>
            <w:r>
              <w:rPr>
                <w:rFonts w:ascii="Verdana" w:hAnsi="Verdana"/>
              </w:rPr>
              <w:t xml:space="preserve"> deadline was</w:t>
            </w:r>
            <w:r w:rsidRPr="2A78D7A4">
              <w:rPr>
                <w:rFonts w:ascii="Verdana" w:hAnsi="Verdana"/>
              </w:rPr>
              <w:t xml:space="preserve"> </w:t>
            </w:r>
            <w:r w:rsidRPr="2A78D7A4">
              <w:rPr>
                <w:rFonts w:ascii="Verdana" w:hAnsi="Verdana"/>
                <w:i/>
                <w:iCs/>
              </w:rPr>
              <w:t xml:space="preserve">prior to </w:t>
            </w:r>
            <w:r>
              <w:rPr>
                <w:rFonts w:ascii="Verdana" w:hAnsi="Verdana"/>
              </w:rPr>
              <w:t>20 March</w:t>
            </w:r>
            <w:r w:rsidRPr="2A78D7A4">
              <w:rPr>
                <w:rFonts w:ascii="Verdana" w:hAnsi="Verdana"/>
              </w:rPr>
              <w:t xml:space="preserve"> 2020, an additional two assessment opportunities will be provided.</w:t>
            </w:r>
          </w:p>
          <w:p w14:paraId="36D0B6F7" w14:textId="77777777" w:rsidR="00DC127D" w:rsidRDefault="00DC127D" w:rsidP="00713636">
            <w:pPr>
              <w:rPr>
                <w:rFonts w:ascii="Verdana" w:hAnsi="Verdana"/>
              </w:rPr>
            </w:pPr>
          </w:p>
          <w:p w14:paraId="0007F7E7" w14:textId="77777777" w:rsidR="00DC127D" w:rsidRDefault="00DC127D" w:rsidP="00713636">
            <w:pPr>
              <w:pStyle w:val="ListParagraph"/>
              <w:numPr>
                <w:ilvl w:val="0"/>
                <w:numId w:val="4"/>
              </w:numPr>
              <w:rPr>
                <w:rFonts w:ascii="Verdana" w:hAnsi="Verdana"/>
              </w:rPr>
            </w:pPr>
            <w:r w:rsidRPr="2A78D7A4">
              <w:rPr>
                <w:rFonts w:ascii="Verdana" w:hAnsi="Verdana"/>
              </w:rPr>
              <w:t>Students who have not already passed the assessment can submit to one of those opportunities.</w:t>
            </w:r>
          </w:p>
          <w:p w14:paraId="4CBE080C" w14:textId="77777777" w:rsidR="00DC127D" w:rsidRDefault="00DC127D" w:rsidP="00713636">
            <w:pPr>
              <w:rPr>
                <w:rFonts w:ascii="Verdana" w:hAnsi="Verdana"/>
              </w:rPr>
            </w:pPr>
          </w:p>
          <w:p w14:paraId="314797DE" w14:textId="77777777" w:rsidR="00DC127D" w:rsidRPr="00A01E32" w:rsidRDefault="00DC127D" w:rsidP="00713636">
            <w:pPr>
              <w:rPr>
                <w:rFonts w:ascii="Verdana" w:hAnsi="Verdana"/>
              </w:rPr>
            </w:pPr>
            <w:r>
              <w:rPr>
                <w:rFonts w:ascii="Verdana" w:hAnsi="Verdana"/>
              </w:rPr>
              <w:t>For all assessments where both first sit and resit deadlines were prior to 20 March 2020 – no further opportunities.</w:t>
            </w:r>
          </w:p>
          <w:p w14:paraId="5B378CDA" w14:textId="2EBF4F8B" w:rsidR="00DC127D" w:rsidRPr="00D17637" w:rsidRDefault="00DC127D" w:rsidP="00713636">
            <w:pPr>
              <w:rPr>
                <w:rFonts w:ascii="Verdana" w:hAnsi="Verdana"/>
                <w:i/>
              </w:rPr>
            </w:pPr>
          </w:p>
        </w:tc>
        <w:tc>
          <w:tcPr>
            <w:tcW w:w="3685" w:type="dxa"/>
          </w:tcPr>
          <w:p w14:paraId="7D2376D6" w14:textId="77777777" w:rsidR="00DC127D" w:rsidRDefault="00DC127D" w:rsidP="00713636">
            <w:pPr>
              <w:rPr>
                <w:rFonts w:ascii="Verdana" w:hAnsi="Verdana"/>
              </w:rPr>
            </w:pPr>
            <w:r>
              <w:rPr>
                <w:rFonts w:ascii="Verdana" w:hAnsi="Verdana"/>
              </w:rPr>
              <w:t>This provides some structured flexibility for students to submit when they are able in the current circumstances, whilst still protecting academic integrity by ensuring that students continue to be eligible to submit only twice.</w:t>
            </w:r>
          </w:p>
        </w:tc>
      </w:tr>
      <w:tr w:rsidR="00DC127D" w14:paraId="0357A308" w14:textId="77777777" w:rsidTr="0019765E">
        <w:tc>
          <w:tcPr>
            <w:tcW w:w="562" w:type="dxa"/>
          </w:tcPr>
          <w:p w14:paraId="4C9B934E" w14:textId="3ADEB4E2" w:rsidR="00DC127D" w:rsidRDefault="005112D6" w:rsidP="00713636">
            <w:pPr>
              <w:rPr>
                <w:rFonts w:ascii="Verdana" w:hAnsi="Verdana"/>
              </w:rPr>
            </w:pPr>
            <w:r>
              <w:rPr>
                <w:rFonts w:ascii="Verdana" w:hAnsi="Verdana"/>
              </w:rPr>
              <w:lastRenderedPageBreak/>
              <w:t>C</w:t>
            </w:r>
          </w:p>
        </w:tc>
        <w:tc>
          <w:tcPr>
            <w:tcW w:w="1701" w:type="dxa"/>
          </w:tcPr>
          <w:p w14:paraId="076EE3D7" w14:textId="77777777" w:rsidR="00DC127D" w:rsidRDefault="00DC127D" w:rsidP="00713636">
            <w:pPr>
              <w:rPr>
                <w:rFonts w:ascii="Verdana" w:hAnsi="Verdana"/>
              </w:rPr>
            </w:pPr>
            <w:r>
              <w:rPr>
                <w:rFonts w:ascii="Verdana" w:hAnsi="Verdana"/>
              </w:rPr>
              <w:t xml:space="preserve">3.7.2 </w:t>
            </w:r>
          </w:p>
          <w:p w14:paraId="4427740A" w14:textId="77777777" w:rsidR="00DC127D" w:rsidRDefault="00DC127D" w:rsidP="00713636">
            <w:pPr>
              <w:rPr>
                <w:rFonts w:ascii="Verdana" w:hAnsi="Verdana"/>
              </w:rPr>
            </w:pPr>
            <w:r>
              <w:rPr>
                <w:rFonts w:ascii="Verdana" w:hAnsi="Verdana"/>
              </w:rPr>
              <w:t>(p39)</w:t>
            </w:r>
          </w:p>
        </w:tc>
        <w:tc>
          <w:tcPr>
            <w:tcW w:w="3119" w:type="dxa"/>
          </w:tcPr>
          <w:p w14:paraId="389B81AB" w14:textId="77777777" w:rsidR="00DC127D" w:rsidRDefault="00DC127D" w:rsidP="00713636">
            <w:pPr>
              <w:rPr>
                <w:rFonts w:ascii="Verdana" w:hAnsi="Verdana"/>
              </w:rPr>
            </w:pPr>
            <w:r>
              <w:rPr>
                <w:rFonts w:ascii="Verdana" w:hAnsi="Verdana"/>
              </w:rPr>
              <w:t>Accumulated failure levels will remain in place. However:</w:t>
            </w:r>
          </w:p>
          <w:p w14:paraId="40CA5563" w14:textId="77777777" w:rsidR="00DC127D" w:rsidRDefault="00DC127D" w:rsidP="00713636">
            <w:pPr>
              <w:rPr>
                <w:rFonts w:ascii="Verdana" w:hAnsi="Verdana"/>
              </w:rPr>
            </w:pPr>
          </w:p>
          <w:p w14:paraId="2D3A8FC2" w14:textId="77777777" w:rsidR="00DC127D" w:rsidRPr="00A0199B" w:rsidRDefault="00DC127D" w:rsidP="00713636">
            <w:pPr>
              <w:pStyle w:val="ListParagraph"/>
              <w:numPr>
                <w:ilvl w:val="0"/>
                <w:numId w:val="4"/>
              </w:numPr>
              <w:rPr>
                <w:rFonts w:ascii="Verdana" w:hAnsi="Verdana"/>
              </w:rPr>
            </w:pPr>
            <w:r w:rsidRPr="2A78D7A4">
              <w:rPr>
                <w:rFonts w:ascii="Verdana" w:hAnsi="Verdana"/>
              </w:rPr>
              <w:t xml:space="preserve">Any modules failed due to assessments taken after 20 March 2020 will be discounted from the accumulated failure count.  Students will still need to repeat failed modules but the failure will not count against them.  </w:t>
            </w:r>
          </w:p>
          <w:p w14:paraId="3AA9C252" w14:textId="77777777" w:rsidR="00DC127D" w:rsidRDefault="00DC127D" w:rsidP="00713636">
            <w:pPr>
              <w:rPr>
                <w:rFonts w:ascii="Verdana" w:hAnsi="Verdana"/>
              </w:rPr>
            </w:pPr>
          </w:p>
          <w:p w14:paraId="677E644D" w14:textId="0CCE2130" w:rsidR="00DC127D" w:rsidRDefault="00DC127D" w:rsidP="00A251C3">
            <w:pPr>
              <w:rPr>
                <w:rFonts w:ascii="Verdana" w:hAnsi="Verdana"/>
              </w:rPr>
            </w:pPr>
            <w:r w:rsidRPr="36CD3B22">
              <w:rPr>
                <w:rFonts w:ascii="Verdana" w:hAnsi="Verdana"/>
              </w:rPr>
              <w:t xml:space="preserve">NB provisional grades for modules that students had already failed prior to 20 March 2020 (because their grade profile due to assessments taken prior to 20 March 2020 means they cannot pass the module) will still be considered within the accumulated failure count.  </w:t>
            </w:r>
          </w:p>
          <w:p w14:paraId="4D109CC9" w14:textId="28F20389" w:rsidR="00A251C3" w:rsidRDefault="00A251C3" w:rsidP="00A251C3">
            <w:pPr>
              <w:rPr>
                <w:rFonts w:ascii="Verdana" w:hAnsi="Verdana"/>
              </w:rPr>
            </w:pPr>
          </w:p>
        </w:tc>
        <w:tc>
          <w:tcPr>
            <w:tcW w:w="3685" w:type="dxa"/>
          </w:tcPr>
          <w:p w14:paraId="115BA1B7" w14:textId="77777777" w:rsidR="00DC127D" w:rsidRPr="1EA863F9" w:rsidRDefault="00DC127D" w:rsidP="00713636">
            <w:pPr>
              <w:rPr>
                <w:rFonts w:ascii="Verdana" w:hAnsi="Verdana"/>
              </w:rPr>
            </w:pPr>
            <w:r>
              <w:rPr>
                <w:rFonts w:ascii="Verdana" w:hAnsi="Verdana"/>
              </w:rPr>
              <w:t xml:space="preserve">Ensures that students who have failed </w:t>
            </w:r>
            <w:r w:rsidRPr="00A0199B">
              <w:rPr>
                <w:rFonts w:ascii="Verdana" w:hAnsi="Verdana"/>
                <w:b/>
              </w:rPr>
              <w:t>because of</w:t>
            </w:r>
            <w:r>
              <w:rPr>
                <w:rFonts w:ascii="Verdana" w:hAnsi="Verdana"/>
              </w:rPr>
              <w:t xml:space="preserve"> the impact of Covid-19 will not have their programme registration terminated but ensures continued standards by requiring any failures to be retrieved </w:t>
            </w:r>
            <w:proofErr w:type="gramStart"/>
            <w:r>
              <w:rPr>
                <w:rFonts w:ascii="Verdana" w:hAnsi="Verdana"/>
              </w:rPr>
              <w:t>and also</w:t>
            </w:r>
            <w:proofErr w:type="gramEnd"/>
            <w:r>
              <w:rPr>
                <w:rFonts w:ascii="Verdana" w:hAnsi="Verdana"/>
              </w:rPr>
              <w:t xml:space="preserve"> by continuing to process terminations for those students whose failure was not as a result of Covid-19.</w:t>
            </w:r>
          </w:p>
        </w:tc>
      </w:tr>
      <w:tr w:rsidR="00DC127D" w14:paraId="795065B7" w14:textId="77777777" w:rsidTr="0019765E">
        <w:tc>
          <w:tcPr>
            <w:tcW w:w="562" w:type="dxa"/>
          </w:tcPr>
          <w:p w14:paraId="54160A33" w14:textId="43595E71" w:rsidR="00DC127D" w:rsidRDefault="005112D6" w:rsidP="00713636">
            <w:pPr>
              <w:rPr>
                <w:rFonts w:ascii="Verdana" w:hAnsi="Verdana"/>
              </w:rPr>
            </w:pPr>
            <w:r>
              <w:rPr>
                <w:rFonts w:ascii="Verdana" w:hAnsi="Verdana"/>
              </w:rPr>
              <w:t>D</w:t>
            </w:r>
          </w:p>
        </w:tc>
        <w:tc>
          <w:tcPr>
            <w:tcW w:w="1701" w:type="dxa"/>
          </w:tcPr>
          <w:p w14:paraId="6C922B61" w14:textId="77777777" w:rsidR="00DC127D" w:rsidRDefault="00DC127D" w:rsidP="00713636">
            <w:pPr>
              <w:rPr>
                <w:rFonts w:ascii="Verdana" w:hAnsi="Verdana"/>
              </w:rPr>
            </w:pPr>
            <w:r>
              <w:rPr>
                <w:rFonts w:ascii="Verdana" w:hAnsi="Verdana"/>
              </w:rPr>
              <w:t>3.10.9</w:t>
            </w:r>
          </w:p>
          <w:p w14:paraId="3E9714CF" w14:textId="77777777" w:rsidR="00DC127D" w:rsidRDefault="00DC127D" w:rsidP="00713636">
            <w:pPr>
              <w:rPr>
                <w:rFonts w:ascii="Verdana" w:hAnsi="Verdana"/>
              </w:rPr>
            </w:pPr>
            <w:r>
              <w:rPr>
                <w:rFonts w:ascii="Verdana" w:hAnsi="Verdana"/>
              </w:rPr>
              <w:t>(p45)</w:t>
            </w:r>
          </w:p>
        </w:tc>
        <w:tc>
          <w:tcPr>
            <w:tcW w:w="3119" w:type="dxa"/>
          </w:tcPr>
          <w:p w14:paraId="45062AAE" w14:textId="77777777" w:rsidR="00DC127D" w:rsidRDefault="00DC127D" w:rsidP="00713636">
            <w:pPr>
              <w:rPr>
                <w:rFonts w:ascii="Verdana" w:hAnsi="Verdana"/>
              </w:rPr>
            </w:pPr>
            <w:r>
              <w:rPr>
                <w:rFonts w:ascii="Verdana" w:hAnsi="Verdana"/>
              </w:rPr>
              <w:t>A new study break category will be implemented, where a study break is required because of the impact of Covid-19. This will be subject to different rules from the standard study break category</w:t>
            </w:r>
            <w:r>
              <w:rPr>
                <w:rStyle w:val="FootnoteReference"/>
                <w:rFonts w:ascii="Verdana" w:hAnsi="Verdana"/>
              </w:rPr>
              <w:footnoteReference w:id="9"/>
            </w:r>
            <w:r>
              <w:rPr>
                <w:rFonts w:ascii="Verdana" w:hAnsi="Verdana"/>
              </w:rPr>
              <w:t>.</w:t>
            </w:r>
          </w:p>
          <w:p w14:paraId="5608A292" w14:textId="0B860C0E" w:rsidR="00DC127D" w:rsidRDefault="00DC127D" w:rsidP="00713636">
            <w:pPr>
              <w:rPr>
                <w:rFonts w:ascii="Verdana" w:hAnsi="Verdana"/>
              </w:rPr>
            </w:pPr>
          </w:p>
        </w:tc>
        <w:tc>
          <w:tcPr>
            <w:tcW w:w="3685" w:type="dxa"/>
          </w:tcPr>
          <w:p w14:paraId="2451AF7B" w14:textId="77777777" w:rsidR="00DC127D" w:rsidRDefault="00DC127D" w:rsidP="00713636">
            <w:pPr>
              <w:rPr>
                <w:rFonts w:ascii="Verdana" w:hAnsi="Verdana"/>
              </w:rPr>
            </w:pPr>
            <w:r>
              <w:rPr>
                <w:rFonts w:ascii="Verdana" w:hAnsi="Verdana"/>
              </w:rPr>
              <w:t>To ensure that students can still utilise the standard study break regulation at a later stage and that programme registration lengths are not affected by an Covid-19-related study break</w:t>
            </w:r>
          </w:p>
          <w:p w14:paraId="6CC5BF7F" w14:textId="77777777" w:rsidR="00DC127D" w:rsidRDefault="00DC127D" w:rsidP="00713636">
            <w:pPr>
              <w:rPr>
                <w:rFonts w:ascii="Verdana" w:hAnsi="Verdana"/>
              </w:rPr>
            </w:pPr>
          </w:p>
        </w:tc>
      </w:tr>
    </w:tbl>
    <w:p w14:paraId="46B71FE4" w14:textId="6127F8C5" w:rsidR="00040E07" w:rsidRDefault="00040E07" w:rsidP="00192E57">
      <w:pPr>
        <w:spacing w:after="0"/>
        <w:rPr>
          <w:rFonts w:ascii="Verdana" w:hAnsi="Verdana"/>
        </w:rPr>
      </w:pPr>
    </w:p>
    <w:p w14:paraId="645969A4" w14:textId="17346065" w:rsidR="00A0199B" w:rsidRDefault="00A0199B" w:rsidP="00192E57">
      <w:pPr>
        <w:spacing w:after="0"/>
        <w:rPr>
          <w:rFonts w:ascii="Verdana" w:hAnsi="Verdana"/>
        </w:rPr>
      </w:pPr>
    </w:p>
    <w:p w14:paraId="74E7B24E" w14:textId="77777777" w:rsidR="00D17637" w:rsidRPr="00192E57" w:rsidRDefault="00D17637" w:rsidP="00192E57">
      <w:pPr>
        <w:spacing w:after="0"/>
        <w:rPr>
          <w:rFonts w:ascii="Verdana" w:hAnsi="Verdana"/>
        </w:rPr>
      </w:pPr>
    </w:p>
    <w:sectPr w:rsidR="00D17637" w:rsidRPr="00192E57">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469E236" w16cex:dateUtc="2020-03-24T09:22:19.017Z"/>
  <w16cex:commentExtensible w16cex:durableId="1F904D57" w16cex:dateUtc="2020-03-24T09:23:56.002Z"/>
  <w16cex:commentExtensible w16cex:durableId="791EA687" w16cex:dateUtc="2020-03-24T09:27:00.936Z"/>
  <w16cex:commentExtensible w16cex:durableId="587F964B" w16cex:dateUtc="2020-03-24T09:27:19.481Z"/>
  <w16cex:commentExtensible w16cex:durableId="0B662582" w16cex:dateUtc="2020-03-24T09:27:49.959Z"/>
  <w16cex:commentExtensible w16cex:durableId="62789A9F" w16cex:dateUtc="2020-03-24T09:28:25.301Z"/>
  <w16cex:commentExtensible w16cex:durableId="37B5ABDB" w16cex:dateUtc="2020-03-24T09:28:44.616Z"/>
  <w16cex:commentExtensible w16cex:durableId="7CC4FA6F" w16cex:dateUtc="2020-03-24T09:29:11.614Z"/>
  <w16cex:commentExtensible w16cex:durableId="305BD3A4" w16cex:dateUtc="2020-03-24T09:30:04.918Z"/>
  <w16cex:commentExtensible w16cex:durableId="3F7C49B7" w16cex:dateUtc="2020-03-24T09:30:42.606Z"/>
  <w16cex:commentExtensible w16cex:durableId="6C8CDD53" w16cex:dateUtc="2020-03-24T09:31:18.594Z"/>
  <w16cex:commentExtensible w16cex:durableId="1FC4C946" w16cex:dateUtc="2020-03-24T09:32:06.436Z"/>
  <w16cex:commentExtensible w16cex:durableId="2D6D7871" w16cex:dateUtc="2020-03-26T08:28:45Z"/>
  <w16cex:commentExtensible w16cex:durableId="43D19C55" w16cex:dateUtc="2020-03-26T09:51:49.893Z"/>
  <w16cex:commentExtensible w16cex:durableId="4256077A" w16cex:dateUtc="2020-03-26T10:35:28.28Z"/>
  <w16cex:commentExtensible w16cex:durableId="4A54ED74" w16cex:dateUtc="2020-03-26T10:36:02Z"/>
  <w16cex:commentExtensible w16cex:durableId="297500D2" w16cex:dateUtc="2020-03-26T10:36:39.672Z"/>
  <w16cex:commentExtensible w16cex:durableId="31C4C412" w16cex:dateUtc="2020-03-26T10:37:11.701Z"/>
  <w16cex:commentExtensible w16cex:durableId="39DE3C8A" w16cex:dateUtc="2020-03-26T10:37:55.877Z"/>
  <w16cex:commentExtensible w16cex:durableId="28D927F1" w16cex:dateUtc="2020-03-26T10:38:37.184Z"/>
  <w16cex:commentExtensible w16cex:durableId="02C3BC41" w16cex:dateUtc="2020-03-26T10:45:21.183Z"/>
  <w16cex:commentExtensible w16cex:durableId="36BB9BC2" w16cex:dateUtc="2020-03-26T10:45:50.041Z"/>
  <w16cex:commentExtensible w16cex:durableId="40B5EA7E" w16cex:dateUtc="2020-03-26T10:46:30.574Z"/>
  <w16cex:commentExtensible w16cex:durableId="063E57C2" w16cex:dateUtc="2020-03-26T14:31:35.862Z"/>
  <w16cex:commentExtensible w16cex:durableId="55120528" w16cex:dateUtc="2020-03-26T14:43:06.187Z"/>
  <w16cex:commentExtensible w16cex:durableId="632E43A7" w16cex:dateUtc="2020-03-26T14:59:38.464Z"/>
  <w16cex:commentExtensible w16cex:durableId="38A21CAF" w16cex:dateUtc="2020-03-26T15:25:48.771Z"/>
  <w16cex:commentExtensible w16cex:durableId="3656796E" w16cex:dateUtc="2020-03-26T15:26:17.618Z"/>
  <w16cex:commentExtensible w16cex:durableId="21956246" w16cex:dateUtc="2020-03-26T15:26:43.189Z"/>
  <w16cex:commentExtensible w16cex:durableId="23BA8A14" w16cex:dateUtc="2020-03-26T15:27:08.637Z"/>
  <w16cex:commentExtensible w16cex:durableId="6410B3B0" w16cex:dateUtc="2020-03-26T15:27:35.553Z"/>
  <w16cex:commentExtensible w16cex:durableId="58DB31DC" w16cex:dateUtc="2020-03-26T16:10:27.25Z"/>
  <w16cex:commentExtensible w16cex:durableId="3C4C5035" w16cex:dateUtc="2020-03-26T16:11:29.844Z"/>
  <w16cex:commentExtensible w16cex:durableId="55B19C61" w16cex:dateUtc="2020-03-26T16:12:39.898Z"/>
  <w16cex:commentExtensible w16cex:durableId="6C5694F7" w16cex:dateUtc="2020-03-26T16:17:57.798Z"/>
  <w16cex:commentExtensible w16cex:durableId="730B2938" w16cex:dateUtc="2020-03-26T16:19:53.695Z"/>
  <w16cex:commentExtensible w16cex:durableId="3D1CEEFB" w16cex:dateUtc="2020-03-26T16:52:51.641Z"/>
  <w16cex:commentExtensible w16cex:durableId="0CB47D5E" w16cex:dateUtc="2020-03-26T16:57:49.677Z"/>
  <w16cex:commentExtensible w16cex:durableId="0048F97A" w16cex:dateUtc="2020-03-26T17:13:28.216Z"/>
  <w16cex:commentExtensible w16cex:durableId="1C66F3D8" w16cex:dateUtc="2020-03-27T08:52:28.414Z"/>
  <w16cex:commentExtensible w16cex:durableId="561E1D54" w16cex:dateUtc="2020-03-27T09:40:50.534Z"/>
  <w16cex:commentExtensible w16cex:durableId="329B76C8" w16cex:dateUtc="2020-03-27T09:47:52.151Z"/>
  <w16cex:commentExtensible w16cex:durableId="7537743E" w16cex:dateUtc="2020-03-27T09:50:24.28Z"/>
  <w16cex:commentExtensible w16cex:durableId="0A936BBB" w16cex:dateUtc="2020-03-27T16:05:19.409Z"/>
  <w16cex:commentExtensible w16cex:durableId="7AD6869B" w16cex:dateUtc="2020-03-27T16:07:27.59Z"/>
  <w16cex:commentExtensible w16cex:durableId="458D705E" w16cex:dateUtc="2020-03-27T16:09:25.47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BB1D8" w14:textId="77777777" w:rsidR="0076145F" w:rsidRDefault="0076145F" w:rsidP="008F5D42">
      <w:pPr>
        <w:spacing w:after="0" w:line="240" w:lineRule="auto"/>
      </w:pPr>
      <w:r>
        <w:separator/>
      </w:r>
    </w:p>
  </w:endnote>
  <w:endnote w:type="continuationSeparator" w:id="0">
    <w:p w14:paraId="7FEBCACF" w14:textId="77777777" w:rsidR="0076145F" w:rsidRDefault="0076145F" w:rsidP="008F5D42">
      <w:pPr>
        <w:spacing w:after="0" w:line="240" w:lineRule="auto"/>
      </w:pPr>
      <w:r>
        <w:continuationSeparator/>
      </w:r>
    </w:p>
  </w:endnote>
  <w:endnote w:type="continuationNotice" w:id="1">
    <w:p w14:paraId="3EED5737" w14:textId="77777777" w:rsidR="0076145F" w:rsidRDefault="007614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0E448" w14:textId="77777777" w:rsidR="008F5D42" w:rsidRDefault="008F5D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2D03D" w14:textId="77777777" w:rsidR="008F5D42" w:rsidRDefault="008F5D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42D82" w14:textId="77777777" w:rsidR="008F5D42" w:rsidRDefault="008F5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3F97D" w14:textId="77777777" w:rsidR="0076145F" w:rsidRDefault="0076145F" w:rsidP="008F5D42">
      <w:pPr>
        <w:spacing w:after="0" w:line="240" w:lineRule="auto"/>
      </w:pPr>
      <w:r>
        <w:separator/>
      </w:r>
    </w:p>
  </w:footnote>
  <w:footnote w:type="continuationSeparator" w:id="0">
    <w:p w14:paraId="252BB702" w14:textId="77777777" w:rsidR="0076145F" w:rsidRDefault="0076145F" w:rsidP="008F5D42">
      <w:pPr>
        <w:spacing w:after="0" w:line="240" w:lineRule="auto"/>
      </w:pPr>
      <w:r>
        <w:continuationSeparator/>
      </w:r>
    </w:p>
  </w:footnote>
  <w:footnote w:type="continuationNotice" w:id="1">
    <w:p w14:paraId="5DCAAE13" w14:textId="77777777" w:rsidR="0076145F" w:rsidRDefault="0076145F">
      <w:pPr>
        <w:spacing w:after="0" w:line="240" w:lineRule="auto"/>
      </w:pPr>
    </w:p>
  </w:footnote>
  <w:footnote w:id="2">
    <w:p w14:paraId="28FFA1A4" w14:textId="6B781BE4" w:rsidR="002C1F38" w:rsidRPr="002C1F38" w:rsidRDefault="002C1F38">
      <w:pPr>
        <w:pStyle w:val="FootnoteText"/>
        <w:rPr>
          <w:rFonts w:ascii="Verdana" w:hAnsi="Verdana"/>
        </w:rPr>
      </w:pPr>
      <w:r w:rsidRPr="002C1F38">
        <w:rPr>
          <w:rStyle w:val="FootnoteReference"/>
          <w:rFonts w:ascii="Verdana" w:hAnsi="Verdana"/>
        </w:rPr>
        <w:footnoteRef/>
      </w:r>
      <w:r w:rsidRPr="002C1F38">
        <w:rPr>
          <w:rFonts w:ascii="Verdana" w:hAnsi="Verdana"/>
        </w:rPr>
        <w:t xml:space="preserve"> Guidance will be provided</w:t>
      </w:r>
      <w:r>
        <w:rPr>
          <w:rFonts w:ascii="Verdana" w:hAnsi="Verdana"/>
        </w:rPr>
        <w:t xml:space="preserve"> on how post-emergency retrieval should be managed, whilst noting that it will be subject-specific.</w:t>
      </w:r>
    </w:p>
  </w:footnote>
  <w:footnote w:id="3">
    <w:p w14:paraId="3FD40D7D" w14:textId="16D33A94" w:rsidR="006B2356" w:rsidRPr="006B2356" w:rsidRDefault="006B2356">
      <w:pPr>
        <w:pStyle w:val="FootnoteText"/>
        <w:rPr>
          <w:rFonts w:ascii="Verdana" w:hAnsi="Verdana"/>
        </w:rPr>
      </w:pPr>
      <w:r w:rsidRPr="006B2356">
        <w:rPr>
          <w:rStyle w:val="FootnoteReference"/>
          <w:rFonts w:ascii="Verdana" w:hAnsi="Verdana"/>
        </w:rPr>
        <w:footnoteRef/>
      </w:r>
      <w:r w:rsidRPr="006B2356">
        <w:rPr>
          <w:rFonts w:ascii="Verdana" w:hAnsi="Verdana"/>
        </w:rPr>
        <w:t xml:space="preserve"> There may be Supplementary Regulations </w:t>
      </w:r>
      <w:r>
        <w:rPr>
          <w:rFonts w:ascii="Verdana" w:hAnsi="Verdana"/>
        </w:rPr>
        <w:t>for certain programmes that take precedence over these new measures. Supplementary Regulations remain in force unless the PSRB has approved a temporary relaxation of those to reflect the circumstances created by Covid-19.  Any temporary relaxation of these will be documented.</w:t>
      </w:r>
    </w:p>
  </w:footnote>
  <w:footnote w:id="4">
    <w:p w14:paraId="7ABD4DB4" w14:textId="7653E289" w:rsidR="00577670" w:rsidRPr="00A01E32" w:rsidRDefault="00577670">
      <w:pPr>
        <w:pStyle w:val="FootnoteText"/>
        <w:rPr>
          <w:rFonts w:ascii="Verdana" w:hAnsi="Verdana"/>
        </w:rPr>
      </w:pPr>
      <w:r w:rsidRPr="00A01E32">
        <w:rPr>
          <w:rStyle w:val="FootnoteReference"/>
          <w:rFonts w:ascii="Verdana" w:hAnsi="Verdana"/>
        </w:rPr>
        <w:footnoteRef/>
      </w:r>
      <w:r w:rsidRPr="00A01E32">
        <w:rPr>
          <w:rFonts w:ascii="Verdana" w:hAnsi="Verdana"/>
        </w:rPr>
        <w:t xml:space="preserve"> References are based on the Academic and Supplementary Regulations 2019-20.  References may differ for the Academic and Supplementary Regulations in place for other cohorts.</w:t>
      </w:r>
    </w:p>
  </w:footnote>
  <w:footnote w:id="5">
    <w:p w14:paraId="3FD900F5" w14:textId="4DC3C6E4" w:rsidR="00A0199B" w:rsidRDefault="00A0199B">
      <w:pPr>
        <w:pStyle w:val="FootnoteText"/>
      </w:pPr>
      <w:r w:rsidRPr="00A0199B">
        <w:rPr>
          <w:rFonts w:ascii="Verdana" w:hAnsi="Verdana"/>
        </w:rPr>
        <w:footnoteRef/>
      </w:r>
      <w:r w:rsidRPr="00A0199B">
        <w:rPr>
          <w:rFonts w:ascii="Verdana" w:hAnsi="Verdana"/>
        </w:rPr>
        <w:t xml:space="preserve"> Form and process to be finalised and published.</w:t>
      </w:r>
    </w:p>
  </w:footnote>
  <w:footnote w:id="6">
    <w:p w14:paraId="74097F31" w14:textId="6F646759" w:rsidR="00A0199B" w:rsidRPr="00A0199B" w:rsidRDefault="00A0199B">
      <w:pPr>
        <w:pStyle w:val="FootnoteText"/>
        <w:rPr>
          <w:rFonts w:ascii="Verdana" w:hAnsi="Verdana"/>
        </w:rPr>
      </w:pPr>
      <w:r w:rsidRPr="00A0199B">
        <w:rPr>
          <w:rStyle w:val="FootnoteReference"/>
          <w:rFonts w:ascii="Verdana" w:hAnsi="Verdana"/>
        </w:rPr>
        <w:footnoteRef/>
      </w:r>
      <w:r w:rsidRPr="00A0199B">
        <w:rPr>
          <w:rFonts w:ascii="Verdana" w:hAnsi="Verdana"/>
        </w:rPr>
        <w:t xml:space="preserve"> Rules to be finalised and published</w:t>
      </w:r>
      <w:r>
        <w:rPr>
          <w:rFonts w:ascii="Verdana" w:hAnsi="Verdana"/>
        </w:rPr>
        <w:t xml:space="preserve"> but will include a more flexible length and exclusion of this </w:t>
      </w:r>
      <w:proofErr w:type="gramStart"/>
      <w:r>
        <w:rPr>
          <w:rFonts w:ascii="Verdana" w:hAnsi="Verdana"/>
        </w:rPr>
        <w:t>time period</w:t>
      </w:r>
      <w:proofErr w:type="gramEnd"/>
      <w:r>
        <w:rPr>
          <w:rFonts w:ascii="Verdana" w:hAnsi="Verdana"/>
        </w:rPr>
        <w:t xml:space="preserve"> from a student’s maximum period of registration</w:t>
      </w:r>
    </w:p>
  </w:footnote>
  <w:footnote w:id="7">
    <w:p w14:paraId="5D757469" w14:textId="77777777" w:rsidR="00DC127D" w:rsidRPr="00A01E32" w:rsidRDefault="00DC127D" w:rsidP="00DC127D">
      <w:pPr>
        <w:pStyle w:val="FootnoteText"/>
        <w:rPr>
          <w:rFonts w:ascii="Verdana" w:hAnsi="Verdana"/>
        </w:rPr>
      </w:pPr>
      <w:r w:rsidRPr="00A01E32">
        <w:rPr>
          <w:rStyle w:val="FootnoteReference"/>
          <w:rFonts w:ascii="Verdana" w:hAnsi="Verdana"/>
        </w:rPr>
        <w:footnoteRef/>
      </w:r>
      <w:r w:rsidRPr="00A01E32">
        <w:rPr>
          <w:rFonts w:ascii="Verdana" w:hAnsi="Verdana"/>
        </w:rPr>
        <w:t xml:space="preserve"> References are based on the Academic and Supplementary Regulations 2019-20.  References may differ for the Academic and Supplementary Regulations in place for other cohorts.</w:t>
      </w:r>
    </w:p>
  </w:footnote>
  <w:footnote w:id="8">
    <w:p w14:paraId="7DFFC9A4" w14:textId="77777777" w:rsidR="00DC127D" w:rsidRDefault="00DC127D" w:rsidP="00DC127D">
      <w:pPr>
        <w:pStyle w:val="FootnoteText"/>
      </w:pPr>
      <w:r w:rsidRPr="00A0199B">
        <w:rPr>
          <w:rFonts w:ascii="Verdana" w:hAnsi="Verdana"/>
        </w:rPr>
        <w:footnoteRef/>
      </w:r>
      <w:r w:rsidRPr="00A0199B">
        <w:rPr>
          <w:rFonts w:ascii="Verdana" w:hAnsi="Verdana"/>
        </w:rPr>
        <w:t xml:space="preserve"> Form and process to be finalised and published.</w:t>
      </w:r>
    </w:p>
  </w:footnote>
  <w:footnote w:id="9">
    <w:p w14:paraId="58E78F30" w14:textId="77777777" w:rsidR="00DC127D" w:rsidRPr="00A0199B" w:rsidRDefault="00DC127D" w:rsidP="00DC127D">
      <w:pPr>
        <w:pStyle w:val="FootnoteText"/>
        <w:rPr>
          <w:rFonts w:ascii="Verdana" w:hAnsi="Verdana"/>
        </w:rPr>
      </w:pPr>
      <w:r w:rsidRPr="00A0199B">
        <w:rPr>
          <w:rStyle w:val="FootnoteReference"/>
          <w:rFonts w:ascii="Verdana" w:hAnsi="Verdana"/>
        </w:rPr>
        <w:footnoteRef/>
      </w:r>
      <w:r w:rsidRPr="00A0199B">
        <w:rPr>
          <w:rFonts w:ascii="Verdana" w:hAnsi="Verdana"/>
        </w:rPr>
        <w:t xml:space="preserve"> Rules to be finalised and published</w:t>
      </w:r>
      <w:r>
        <w:rPr>
          <w:rFonts w:ascii="Verdana" w:hAnsi="Verdana"/>
        </w:rPr>
        <w:t xml:space="preserve"> but will include a more flexible length and exclusion of this </w:t>
      </w:r>
      <w:proofErr w:type="gramStart"/>
      <w:r>
        <w:rPr>
          <w:rFonts w:ascii="Verdana" w:hAnsi="Verdana"/>
        </w:rPr>
        <w:t>time period</w:t>
      </w:r>
      <w:proofErr w:type="gramEnd"/>
      <w:r>
        <w:rPr>
          <w:rFonts w:ascii="Verdana" w:hAnsi="Verdana"/>
        </w:rPr>
        <w:t xml:space="preserve"> from a student’s maximum period of registration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EB543" w14:textId="77777777" w:rsidR="008F5D42" w:rsidRDefault="008F5D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579A2" w14:textId="6F39B7E2" w:rsidR="008F5D42" w:rsidRDefault="008F5D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6774D" w14:textId="77777777" w:rsidR="008F5D42" w:rsidRDefault="008F5D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4374B"/>
    <w:multiLevelType w:val="hybridMultilevel"/>
    <w:tmpl w:val="8730AE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E56C44"/>
    <w:multiLevelType w:val="hybridMultilevel"/>
    <w:tmpl w:val="271CD7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DD58CB"/>
    <w:multiLevelType w:val="hybridMultilevel"/>
    <w:tmpl w:val="C6623AAE"/>
    <w:lvl w:ilvl="0" w:tplc="954E5F6A">
      <w:start w:val="2"/>
      <w:numFmt w:val="bullet"/>
      <w:lvlText w:val="-"/>
      <w:lvlJc w:val="left"/>
      <w:pPr>
        <w:ind w:left="360" w:hanging="360"/>
      </w:pPr>
      <w:rPr>
        <w:rFonts w:ascii="Verdana" w:eastAsiaTheme="minorHAnsi" w:hAnsi="Verdan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C0D5567"/>
    <w:multiLevelType w:val="hybridMultilevel"/>
    <w:tmpl w:val="F6DAC2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E57"/>
    <w:rsid w:val="00003568"/>
    <w:rsid w:val="00023627"/>
    <w:rsid w:val="000331FD"/>
    <w:rsid w:val="00040E07"/>
    <w:rsid w:val="00124954"/>
    <w:rsid w:val="00170DF4"/>
    <w:rsid w:val="00187309"/>
    <w:rsid w:val="00192E57"/>
    <w:rsid w:val="0019765E"/>
    <w:rsid w:val="00200151"/>
    <w:rsid w:val="00221DD4"/>
    <w:rsid w:val="0027748F"/>
    <w:rsid w:val="00277D6C"/>
    <w:rsid w:val="002C1F38"/>
    <w:rsid w:val="002D02D7"/>
    <w:rsid w:val="002E4085"/>
    <w:rsid w:val="002F743E"/>
    <w:rsid w:val="003551B0"/>
    <w:rsid w:val="003E3371"/>
    <w:rsid w:val="00435779"/>
    <w:rsid w:val="00446490"/>
    <w:rsid w:val="004F1CFB"/>
    <w:rsid w:val="005112D6"/>
    <w:rsid w:val="00515AE2"/>
    <w:rsid w:val="00577670"/>
    <w:rsid w:val="005D6663"/>
    <w:rsid w:val="00611B04"/>
    <w:rsid w:val="00654FAD"/>
    <w:rsid w:val="00680AD9"/>
    <w:rsid w:val="006B2356"/>
    <w:rsid w:val="006B4561"/>
    <w:rsid w:val="00741A88"/>
    <w:rsid w:val="00751D60"/>
    <w:rsid w:val="0076145F"/>
    <w:rsid w:val="007D643F"/>
    <w:rsid w:val="007F0BF0"/>
    <w:rsid w:val="0081782A"/>
    <w:rsid w:val="008320EE"/>
    <w:rsid w:val="00876A6C"/>
    <w:rsid w:val="008E4329"/>
    <w:rsid w:val="008F5D42"/>
    <w:rsid w:val="00915E7A"/>
    <w:rsid w:val="009E1810"/>
    <w:rsid w:val="00A0199B"/>
    <w:rsid w:val="00A01E32"/>
    <w:rsid w:val="00A251C3"/>
    <w:rsid w:val="00AB7DAD"/>
    <w:rsid w:val="00AD3D36"/>
    <w:rsid w:val="00AF1027"/>
    <w:rsid w:val="00AF58D0"/>
    <w:rsid w:val="00B47809"/>
    <w:rsid w:val="00C33832"/>
    <w:rsid w:val="00C525AE"/>
    <w:rsid w:val="00CA7843"/>
    <w:rsid w:val="00CD765F"/>
    <w:rsid w:val="00D17637"/>
    <w:rsid w:val="00D225ED"/>
    <w:rsid w:val="00D274B7"/>
    <w:rsid w:val="00D50285"/>
    <w:rsid w:val="00D91C95"/>
    <w:rsid w:val="00DC127D"/>
    <w:rsid w:val="00E90F98"/>
    <w:rsid w:val="00EF3135"/>
    <w:rsid w:val="00F140CB"/>
    <w:rsid w:val="00F45C03"/>
    <w:rsid w:val="00F46030"/>
    <w:rsid w:val="00FB1A1B"/>
    <w:rsid w:val="00FC3B99"/>
    <w:rsid w:val="00FE0353"/>
    <w:rsid w:val="00FE32DF"/>
    <w:rsid w:val="03F7C98D"/>
    <w:rsid w:val="0A60F375"/>
    <w:rsid w:val="0B6AA19C"/>
    <w:rsid w:val="0BD5B471"/>
    <w:rsid w:val="0CEFD84C"/>
    <w:rsid w:val="0E6DFBC9"/>
    <w:rsid w:val="0EC88E67"/>
    <w:rsid w:val="100622A0"/>
    <w:rsid w:val="11342B15"/>
    <w:rsid w:val="1649E20C"/>
    <w:rsid w:val="16C0400C"/>
    <w:rsid w:val="172D200A"/>
    <w:rsid w:val="17F61863"/>
    <w:rsid w:val="19338DC0"/>
    <w:rsid w:val="1990B13E"/>
    <w:rsid w:val="19C69E9D"/>
    <w:rsid w:val="1D8C05CF"/>
    <w:rsid w:val="1EA863F9"/>
    <w:rsid w:val="1F62A8B9"/>
    <w:rsid w:val="2320D520"/>
    <w:rsid w:val="286AB32A"/>
    <w:rsid w:val="29906CC6"/>
    <w:rsid w:val="2A65CA7B"/>
    <w:rsid w:val="2A78D7A4"/>
    <w:rsid w:val="2AAA9907"/>
    <w:rsid w:val="2C9DC9D3"/>
    <w:rsid w:val="2E3F81D6"/>
    <w:rsid w:val="2F1A1475"/>
    <w:rsid w:val="32227662"/>
    <w:rsid w:val="35984C7D"/>
    <w:rsid w:val="36CD3B22"/>
    <w:rsid w:val="38EA348B"/>
    <w:rsid w:val="3CD4DF29"/>
    <w:rsid w:val="3DE205D8"/>
    <w:rsid w:val="409F8E2A"/>
    <w:rsid w:val="480ECB1F"/>
    <w:rsid w:val="48EAA3FC"/>
    <w:rsid w:val="49CAE4A6"/>
    <w:rsid w:val="4A33B031"/>
    <w:rsid w:val="4A7FBFAC"/>
    <w:rsid w:val="4B185CC8"/>
    <w:rsid w:val="4F0A91CF"/>
    <w:rsid w:val="4F2E9FEC"/>
    <w:rsid w:val="51AA34D6"/>
    <w:rsid w:val="52A3F0B9"/>
    <w:rsid w:val="54C6779A"/>
    <w:rsid w:val="55F873C2"/>
    <w:rsid w:val="581BBBE3"/>
    <w:rsid w:val="58C3A2C3"/>
    <w:rsid w:val="5B32857A"/>
    <w:rsid w:val="5DAED14D"/>
    <w:rsid w:val="5DDFEE9E"/>
    <w:rsid w:val="62C836A3"/>
    <w:rsid w:val="64EDF57C"/>
    <w:rsid w:val="6922A1B2"/>
    <w:rsid w:val="6A006081"/>
    <w:rsid w:val="6D90E9BA"/>
    <w:rsid w:val="723D2A51"/>
    <w:rsid w:val="7387EDF6"/>
    <w:rsid w:val="7792BC7B"/>
    <w:rsid w:val="77DBB2CD"/>
    <w:rsid w:val="78957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66ABCC"/>
  <w15:chartTrackingRefBased/>
  <w15:docId w15:val="{E3067B61-5256-4FC8-988B-7F49CB17E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DD4"/>
    <w:pPr>
      <w:ind w:left="720"/>
      <w:contextualSpacing/>
    </w:pPr>
  </w:style>
  <w:style w:type="table" w:styleId="TableGrid">
    <w:name w:val="Table Grid"/>
    <w:basedOn w:val="TableNormal"/>
    <w:uiPriority w:val="39"/>
    <w:rsid w:val="00221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5D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D42"/>
  </w:style>
  <w:style w:type="paragraph" w:styleId="Footer">
    <w:name w:val="footer"/>
    <w:basedOn w:val="Normal"/>
    <w:link w:val="FooterChar"/>
    <w:uiPriority w:val="99"/>
    <w:unhideWhenUsed/>
    <w:rsid w:val="008F5D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D42"/>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51D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D6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51D60"/>
    <w:rPr>
      <w:b/>
      <w:bCs/>
    </w:rPr>
  </w:style>
  <w:style w:type="character" w:customStyle="1" w:styleId="CommentSubjectChar">
    <w:name w:val="Comment Subject Char"/>
    <w:basedOn w:val="CommentTextChar"/>
    <w:link w:val="CommentSubject"/>
    <w:uiPriority w:val="99"/>
    <w:semiHidden/>
    <w:rsid w:val="00751D60"/>
    <w:rPr>
      <w:b/>
      <w:bCs/>
      <w:sz w:val="20"/>
      <w:szCs w:val="20"/>
    </w:rPr>
  </w:style>
  <w:style w:type="paragraph" w:styleId="FootnoteText">
    <w:name w:val="footnote text"/>
    <w:basedOn w:val="Normal"/>
    <w:link w:val="FootnoteTextChar"/>
    <w:uiPriority w:val="99"/>
    <w:semiHidden/>
    <w:unhideWhenUsed/>
    <w:rsid w:val="008320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20EE"/>
    <w:rPr>
      <w:sz w:val="20"/>
      <w:szCs w:val="20"/>
    </w:rPr>
  </w:style>
  <w:style w:type="character" w:styleId="FootnoteReference">
    <w:name w:val="footnote reference"/>
    <w:basedOn w:val="DefaultParagraphFont"/>
    <w:uiPriority w:val="99"/>
    <w:semiHidden/>
    <w:unhideWhenUsed/>
    <w:rsid w:val="008320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75092">
      <w:bodyDiv w:val="1"/>
      <w:marLeft w:val="0"/>
      <w:marRight w:val="0"/>
      <w:marTop w:val="0"/>
      <w:marBottom w:val="0"/>
      <w:divBdr>
        <w:top w:val="none" w:sz="0" w:space="0" w:color="auto"/>
        <w:left w:val="none" w:sz="0" w:space="0" w:color="auto"/>
        <w:bottom w:val="none" w:sz="0" w:space="0" w:color="auto"/>
        <w:right w:val="none" w:sz="0" w:space="0" w:color="auto"/>
      </w:divBdr>
    </w:div>
    <w:div w:id="156371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d1177b859592472e"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_GUID xmlns="9a1946db-5818-4171-92b3-738222f6c2b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F7E17A40CA3A4490E9840D1665B738" ma:contentTypeVersion="12" ma:contentTypeDescription="Create a new document." ma:contentTypeScope="" ma:versionID="4cc7c5c28cdc826532f555d7a1ce0a07">
  <xsd:schema xmlns:xsd="http://www.w3.org/2001/XMLSchema" xmlns:xs="http://www.w3.org/2001/XMLSchema" xmlns:p="http://schemas.microsoft.com/office/2006/metadata/properties" xmlns:ns2="9a1946db-5818-4171-92b3-738222f6c2b2" targetNamespace="http://schemas.microsoft.com/office/2006/metadata/properties" ma:root="true" ma:fieldsID="73ed6288e37d777ab9f249ee13906f80" ns2:_="">
    <xsd:import namespace="9a1946db-5818-4171-92b3-738222f6c2b2"/>
    <xsd:element name="properties">
      <xsd:complexType>
        <xsd:sequence>
          <xsd:element name="documentManagement">
            <xsd:complexType>
              <xsd:all>
                <xsd:element ref="ns2:MediaServiceMetadata" minOccurs="0"/>
                <xsd:element ref="ns2:MediaServiceFastMetadata" minOccurs="0"/>
                <xsd:element ref="ns2:DOC_GUID"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1946db-5818-4171-92b3-738222f6c2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_GUID" ma:index="10" nillable="true" ma:displayName="DOC_GUID" ma:internalName="DOC_GUID">
      <xsd:simpleType>
        <xsd:restriction base="dms:Text">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0F1AA-DDF9-4ACF-AB02-4EC1C9980F42}">
  <ds:schemaRefs>
    <ds:schemaRef ds:uri="http://schemas.openxmlformats.org/package/2006/metadata/core-properties"/>
    <ds:schemaRef ds:uri="cf779a0d-ab3b-4991-9473-b645fefa287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20e0a6f6-8cfc-49d5-91d8-aa63ee795142"/>
    <ds:schemaRef ds:uri="http://www.w3.org/XML/1998/namespace"/>
    <ds:schemaRef ds:uri="http://purl.org/dc/dcmitype/"/>
  </ds:schemaRefs>
</ds:datastoreItem>
</file>

<file path=customXml/itemProps2.xml><?xml version="1.0" encoding="utf-8"?>
<ds:datastoreItem xmlns:ds="http://schemas.openxmlformats.org/officeDocument/2006/customXml" ds:itemID="{19CEAFA8-771A-48E7-8161-EF19F396B0C4}"/>
</file>

<file path=customXml/itemProps3.xml><?xml version="1.0" encoding="utf-8"?>
<ds:datastoreItem xmlns:ds="http://schemas.openxmlformats.org/officeDocument/2006/customXml" ds:itemID="{A78ABFC4-BCF9-46C8-A31C-A4932364C1DB}">
  <ds:schemaRefs>
    <ds:schemaRef ds:uri="http://schemas.microsoft.com/sharepoint/v3/contenttype/forms"/>
  </ds:schemaRefs>
</ds:datastoreItem>
</file>

<file path=customXml/itemProps4.xml><?xml version="1.0" encoding="utf-8"?>
<ds:datastoreItem xmlns:ds="http://schemas.openxmlformats.org/officeDocument/2006/customXml" ds:itemID="{9B5275CD-78AA-4C44-9FDE-DAD38DA69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Pages>
  <Words>1792</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Kendon</dc:creator>
  <cp:keywords/>
  <dc:description/>
  <cp:lastModifiedBy>Kathryn Kendon</cp:lastModifiedBy>
  <cp:revision>12</cp:revision>
  <dcterms:created xsi:type="dcterms:W3CDTF">2020-03-30T04:22:00Z</dcterms:created>
  <dcterms:modified xsi:type="dcterms:W3CDTF">2020-04-22T21:57:00Z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0x01010077F7E17A40CA3A4490E9840D1665B738</vt:lpwstr>
  </property>
  <property fmtid="{D5CDD505-2E9C-101B-9397-08002B2CF9AE}" pid="3" name="Order">
    <vt:r8>8300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ies>
</file>