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4269B" w14:textId="77777777" w:rsidR="00192E57" w:rsidRDefault="409F8E2A" w:rsidP="00192E57">
      <w:pPr>
        <w:spacing w:after="0"/>
        <w:jc w:val="right"/>
        <w:rPr>
          <w:rFonts w:ascii="Verdana" w:hAnsi="Verdana"/>
        </w:rPr>
      </w:pPr>
      <w:r>
        <w:rPr>
          <w:noProof/>
        </w:rPr>
        <w:drawing>
          <wp:inline distT="0" distB="0" distL="0" distR="0" wp14:anchorId="7601234B" wp14:editId="4A962951">
            <wp:extent cx="1143000" cy="590550"/>
            <wp:effectExtent l="0" t="0" r="0" b="0"/>
            <wp:docPr id="2036161384" name="Picture 1" descr="cid:image001.png@01D33384.127DA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9B544" w14:textId="77777777" w:rsidR="00192E57" w:rsidRDefault="00192E57" w:rsidP="00192E57">
      <w:pPr>
        <w:spacing w:after="0"/>
        <w:rPr>
          <w:rFonts w:ascii="Verdana" w:hAnsi="Verdana"/>
        </w:rPr>
      </w:pPr>
    </w:p>
    <w:p w14:paraId="4DFBCAF1" w14:textId="77777777" w:rsidR="002E4085" w:rsidRPr="00FE32DF" w:rsidRDefault="00192E57" w:rsidP="00192E57">
      <w:pPr>
        <w:spacing w:after="0"/>
        <w:rPr>
          <w:rFonts w:ascii="Verdana" w:hAnsi="Verdana"/>
          <w:b/>
        </w:rPr>
      </w:pPr>
      <w:r w:rsidRPr="00FE32DF">
        <w:rPr>
          <w:rFonts w:ascii="Verdana" w:hAnsi="Verdana"/>
          <w:b/>
        </w:rPr>
        <w:t xml:space="preserve">Academic and Student Regulations – Emergency Regulations </w:t>
      </w:r>
    </w:p>
    <w:p w14:paraId="4FA56634" w14:textId="3E3A1502" w:rsidR="00192E57" w:rsidRDefault="00697C60" w:rsidP="00192E57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2020-21</w:t>
      </w:r>
    </w:p>
    <w:p w14:paraId="5544D055" w14:textId="4BF92837" w:rsidR="001544DA" w:rsidRDefault="001544DA" w:rsidP="00192E57">
      <w:pPr>
        <w:spacing w:after="0"/>
        <w:rPr>
          <w:rFonts w:ascii="Verdana" w:hAnsi="Verdana"/>
          <w:b/>
        </w:rPr>
      </w:pPr>
    </w:p>
    <w:p w14:paraId="3088AFEE" w14:textId="272C7604" w:rsidR="001544DA" w:rsidRPr="001544DA" w:rsidRDefault="001544DA" w:rsidP="00192E57">
      <w:pPr>
        <w:spacing w:after="0"/>
        <w:rPr>
          <w:rFonts w:ascii="Verdana" w:hAnsi="Verdana"/>
          <w:i/>
        </w:rPr>
      </w:pPr>
      <w:r w:rsidRPr="001544DA">
        <w:rPr>
          <w:rFonts w:ascii="Verdana" w:hAnsi="Verdana"/>
          <w:i/>
        </w:rPr>
        <w:t xml:space="preserve">[These Regulations came into force in September 2020 for the 2020/21 academic year. They have been updated, with revised Emergency Regulations in place from Monday 25 January 2021. These can be accessed via a </w:t>
      </w:r>
      <w:hyperlink r:id="rId12" w:history="1">
        <w:r w:rsidRPr="001544DA">
          <w:rPr>
            <w:rStyle w:val="Hyperlink"/>
            <w:rFonts w:ascii="Verdana" w:hAnsi="Verdana"/>
          </w:rPr>
          <w:t>separate document</w:t>
        </w:r>
      </w:hyperlink>
      <w:r w:rsidRPr="001544DA">
        <w:rPr>
          <w:rFonts w:ascii="Verdana" w:hAnsi="Verdana"/>
          <w:i/>
        </w:rPr>
        <w:t xml:space="preserve">.  This version of the Emergency Regulations 2020/21 ceases to </w:t>
      </w:r>
      <w:r>
        <w:rPr>
          <w:rFonts w:ascii="Verdana" w:hAnsi="Verdana"/>
          <w:i/>
        </w:rPr>
        <w:t xml:space="preserve">be </w:t>
      </w:r>
      <w:r w:rsidRPr="001544DA">
        <w:rPr>
          <w:rFonts w:ascii="Verdana" w:hAnsi="Verdana"/>
          <w:i/>
        </w:rPr>
        <w:t>current from Monday 25 January 2021]</w:t>
      </w:r>
      <w:r>
        <w:rPr>
          <w:rFonts w:ascii="Verdana" w:hAnsi="Verdana"/>
          <w:i/>
        </w:rPr>
        <w:t>.</w:t>
      </w:r>
      <w:bookmarkStart w:id="0" w:name="_GoBack"/>
      <w:bookmarkEnd w:id="0"/>
    </w:p>
    <w:p w14:paraId="174EACE3" w14:textId="77777777" w:rsidR="00192E57" w:rsidRDefault="00192E57" w:rsidP="00192E57">
      <w:pPr>
        <w:spacing w:after="0"/>
        <w:rPr>
          <w:rFonts w:ascii="Verdana" w:hAnsi="Verdana"/>
        </w:rPr>
      </w:pPr>
    </w:p>
    <w:p w14:paraId="0E7AA5BE" w14:textId="49B67539" w:rsidR="00697C60" w:rsidRDefault="00192E57" w:rsidP="00192E57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The University of </w:t>
      </w:r>
      <w:r w:rsidR="00F9015D">
        <w:rPr>
          <w:rFonts w:ascii="Verdana" w:hAnsi="Verdana"/>
        </w:rPr>
        <w:t>Northampton developed a set of E</w:t>
      </w:r>
      <w:r>
        <w:rPr>
          <w:rFonts w:ascii="Verdana" w:hAnsi="Verdana"/>
        </w:rPr>
        <w:t xml:space="preserve">mergency Academic and Student Regulations to respond to the unprecedented </w:t>
      </w:r>
      <w:r w:rsidR="00FB1A1B">
        <w:rPr>
          <w:rFonts w:ascii="Verdana" w:hAnsi="Verdana"/>
        </w:rPr>
        <w:t>situation</w:t>
      </w:r>
      <w:r>
        <w:rPr>
          <w:rFonts w:ascii="Verdana" w:hAnsi="Verdana"/>
        </w:rPr>
        <w:t xml:space="preserve"> posed by the Covid-19 pandemic.  These Regulations </w:t>
      </w:r>
      <w:r w:rsidR="00697C60">
        <w:rPr>
          <w:rFonts w:ascii="Verdana" w:hAnsi="Verdana"/>
        </w:rPr>
        <w:t>were</w:t>
      </w:r>
      <w:r>
        <w:rPr>
          <w:rFonts w:ascii="Verdana" w:hAnsi="Verdana"/>
        </w:rPr>
        <w:t xml:space="preserve"> appr</w:t>
      </w:r>
      <w:r w:rsidR="00697C60">
        <w:rPr>
          <w:rFonts w:ascii="Verdana" w:hAnsi="Verdana"/>
        </w:rPr>
        <w:t xml:space="preserve">oved by the University’s Senate and enacted from 1 April 2020. At the time it was stated that these Emergency Regulations would remain in place until they were revoked by Senate.  </w:t>
      </w:r>
    </w:p>
    <w:p w14:paraId="1E1AC23F" w14:textId="77777777" w:rsidR="00697C60" w:rsidRDefault="00697C60" w:rsidP="00192E57">
      <w:pPr>
        <w:spacing w:after="0"/>
        <w:rPr>
          <w:rFonts w:ascii="Verdana" w:hAnsi="Verdana"/>
        </w:rPr>
      </w:pPr>
    </w:p>
    <w:p w14:paraId="628A6ADC" w14:textId="5D87830C" w:rsidR="00697C60" w:rsidRDefault="00697C60" w:rsidP="00192E57">
      <w:pPr>
        <w:spacing w:after="0"/>
        <w:rPr>
          <w:rFonts w:ascii="Verdana" w:hAnsi="Verdana"/>
        </w:rPr>
      </w:pPr>
      <w:bookmarkStart w:id="1" w:name="_Hlk43841298"/>
      <w:r>
        <w:rPr>
          <w:rFonts w:ascii="Verdana" w:hAnsi="Verdana"/>
        </w:rPr>
        <w:t>On 8 May 2020 Senate approved that the Emergency Regulations would remain in place for the September 2020-21 intake (and for students continuing with their studies in September 2020).  Senate also noted that a review of the Emergency Regulations would occur to consider if any revisions were required. This is because the Emergency Regulations were written origin</w:t>
      </w:r>
      <w:r w:rsidR="00A83122">
        <w:rPr>
          <w:rFonts w:ascii="Verdana" w:hAnsi="Verdana"/>
        </w:rPr>
        <w:t>ally for a short-term situation</w:t>
      </w:r>
      <w:r>
        <w:rPr>
          <w:rFonts w:ascii="Verdana" w:hAnsi="Verdana"/>
        </w:rPr>
        <w:t>.</w:t>
      </w:r>
      <w:r w:rsidR="00A83122">
        <w:rPr>
          <w:rFonts w:ascii="Verdana" w:hAnsi="Verdana"/>
        </w:rPr>
        <w:t xml:space="preserve"> This review has been undertaken</w:t>
      </w:r>
      <w:r w:rsidR="00F9015D">
        <w:rPr>
          <w:rFonts w:ascii="Verdana" w:hAnsi="Verdana"/>
        </w:rPr>
        <w:t xml:space="preserve"> and the revised Emergency Regulations are now presented</w:t>
      </w:r>
      <w:r w:rsidR="00A83122">
        <w:rPr>
          <w:rFonts w:ascii="Verdana" w:hAnsi="Verdana"/>
        </w:rPr>
        <w:t>.</w:t>
      </w:r>
    </w:p>
    <w:bookmarkEnd w:id="1"/>
    <w:p w14:paraId="20FC2FF8" w14:textId="05C8F0CC" w:rsidR="00A83122" w:rsidRDefault="00A83122" w:rsidP="00192E57">
      <w:pPr>
        <w:spacing w:after="0"/>
        <w:rPr>
          <w:rFonts w:ascii="Verdana" w:hAnsi="Verdana"/>
        </w:rPr>
      </w:pPr>
    </w:p>
    <w:p w14:paraId="63CD1A28" w14:textId="161BA808" w:rsidR="00A83122" w:rsidRDefault="00A83122" w:rsidP="00192E57">
      <w:pPr>
        <w:spacing w:after="0"/>
        <w:rPr>
          <w:rFonts w:ascii="Verdana" w:hAnsi="Verdana"/>
        </w:rPr>
      </w:pPr>
      <w:r>
        <w:rPr>
          <w:rFonts w:ascii="Verdana" w:hAnsi="Verdana"/>
        </w:rPr>
        <w:t>The Regulations will be implemented equally for onsite students and for partners.  Although overseas partners may be experiencing the impacts of Covid-19 in different ways, the amendments that will remain in place to the Regulations for 2020/21 are supportive to students and so there is no detriment to retaining them for all provision awarded by the University.</w:t>
      </w:r>
    </w:p>
    <w:p w14:paraId="3E09E6E4" w14:textId="1CEB8435" w:rsidR="00FC11D4" w:rsidRDefault="00FC11D4" w:rsidP="00192E57">
      <w:pPr>
        <w:spacing w:after="0"/>
        <w:rPr>
          <w:rFonts w:ascii="Verdana" w:hAnsi="Verdana"/>
        </w:rPr>
      </w:pPr>
    </w:p>
    <w:p w14:paraId="123BB4C2" w14:textId="77625AA8" w:rsidR="00FC11D4" w:rsidRDefault="00FC11D4" w:rsidP="00192E57">
      <w:pPr>
        <w:spacing w:after="0"/>
        <w:rPr>
          <w:rFonts w:ascii="Verdana" w:hAnsi="Verdana"/>
        </w:rPr>
      </w:pPr>
      <w:r>
        <w:rPr>
          <w:rFonts w:ascii="Verdana" w:hAnsi="Verdana"/>
        </w:rPr>
        <w:t>Kathryn Kendon</w:t>
      </w:r>
    </w:p>
    <w:p w14:paraId="133CE335" w14:textId="0CDA8A1F" w:rsidR="00FC11D4" w:rsidRDefault="00FC11D4" w:rsidP="00192E57">
      <w:pPr>
        <w:spacing w:after="0"/>
        <w:rPr>
          <w:rFonts w:ascii="Verdana" w:hAnsi="Verdana"/>
        </w:rPr>
      </w:pPr>
      <w:r>
        <w:rPr>
          <w:rFonts w:ascii="Verdana" w:hAnsi="Verdana"/>
        </w:rPr>
        <w:t>Academic Registrar and Director, Student and Academic Services</w:t>
      </w:r>
    </w:p>
    <w:p w14:paraId="36F18D3F" w14:textId="2EFCD081" w:rsidR="00FC11D4" w:rsidRDefault="00FC11D4" w:rsidP="00192E57">
      <w:pPr>
        <w:spacing w:after="0"/>
        <w:rPr>
          <w:rFonts w:ascii="Verdana" w:hAnsi="Verdana"/>
        </w:rPr>
      </w:pPr>
      <w:r>
        <w:rPr>
          <w:rFonts w:ascii="Verdana" w:hAnsi="Verdana"/>
        </w:rPr>
        <w:t>May 2020</w:t>
      </w:r>
    </w:p>
    <w:p w14:paraId="23A3AD3A" w14:textId="77777777" w:rsidR="00192E57" w:rsidRDefault="00192E57" w:rsidP="00192E57">
      <w:pPr>
        <w:spacing w:after="0"/>
        <w:rPr>
          <w:rFonts w:ascii="Verdana" w:hAnsi="Verdana"/>
        </w:rPr>
      </w:pPr>
    </w:p>
    <w:p w14:paraId="7E45DBBD" w14:textId="77777777" w:rsidR="00221DD4" w:rsidRPr="00221DD4" w:rsidRDefault="00221DD4" w:rsidP="2A78D7A4">
      <w:pPr>
        <w:spacing w:after="0"/>
        <w:rPr>
          <w:rFonts w:ascii="Verdana" w:hAnsi="Verdana"/>
          <w:b/>
          <w:bCs/>
        </w:rPr>
      </w:pPr>
      <w:r w:rsidRPr="2A78D7A4">
        <w:rPr>
          <w:rFonts w:ascii="Verdana" w:hAnsi="Verdana"/>
          <w:b/>
          <w:bCs/>
        </w:rPr>
        <w:t>Principles</w:t>
      </w:r>
    </w:p>
    <w:p w14:paraId="590BEFCC" w14:textId="73194C01" w:rsidR="00221DD4" w:rsidRDefault="00221DD4" w:rsidP="00192E57">
      <w:pPr>
        <w:spacing w:after="0"/>
        <w:rPr>
          <w:rFonts w:ascii="Verdana" w:hAnsi="Verdana"/>
        </w:rPr>
      </w:pPr>
    </w:p>
    <w:p w14:paraId="39FB54FA" w14:textId="572E7C62" w:rsidR="00221DD4" w:rsidRDefault="00697C60" w:rsidP="00192E57">
      <w:pPr>
        <w:spacing w:after="0"/>
        <w:rPr>
          <w:rFonts w:ascii="Verdana" w:hAnsi="Verdana"/>
        </w:rPr>
      </w:pPr>
      <w:r>
        <w:rPr>
          <w:rFonts w:ascii="Verdana" w:hAnsi="Verdana"/>
        </w:rPr>
        <w:t>The five principles of the Emergency Regulations remain relevan</w:t>
      </w:r>
      <w:r w:rsidR="00F9015D">
        <w:rPr>
          <w:rFonts w:ascii="Verdana" w:hAnsi="Verdana"/>
        </w:rPr>
        <w:t>t for the 2020/21 academic year</w:t>
      </w:r>
      <w:r w:rsidR="00221DD4">
        <w:rPr>
          <w:rFonts w:ascii="Verdana" w:hAnsi="Verdana"/>
        </w:rPr>
        <w:t>:</w:t>
      </w:r>
    </w:p>
    <w:p w14:paraId="79F7DBED" w14:textId="77777777" w:rsidR="00221DD4" w:rsidRDefault="00221DD4" w:rsidP="00192E57">
      <w:pPr>
        <w:spacing w:after="0"/>
        <w:rPr>
          <w:rFonts w:ascii="Verdana" w:hAnsi="Verdana"/>
        </w:rPr>
      </w:pPr>
    </w:p>
    <w:p w14:paraId="34BCFC86" w14:textId="1C38E850" w:rsidR="00221DD4" w:rsidRDefault="00221DD4" w:rsidP="00221DD4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 w:rsidRPr="1EA863F9">
        <w:rPr>
          <w:rFonts w:ascii="Verdana" w:hAnsi="Verdana"/>
        </w:rPr>
        <w:t xml:space="preserve">Students are not </w:t>
      </w:r>
      <w:r w:rsidR="00FE32DF" w:rsidRPr="1EA863F9">
        <w:rPr>
          <w:rFonts w:ascii="Verdana" w:hAnsi="Verdana"/>
        </w:rPr>
        <w:t xml:space="preserve">academically </w:t>
      </w:r>
      <w:r w:rsidR="00751D60">
        <w:rPr>
          <w:rFonts w:ascii="Verdana" w:hAnsi="Verdana"/>
        </w:rPr>
        <w:t>disadvantaged</w:t>
      </w:r>
      <w:r w:rsidRPr="1EA863F9">
        <w:rPr>
          <w:rFonts w:ascii="Verdana" w:hAnsi="Verdana"/>
        </w:rPr>
        <w:t xml:space="preserve"> because of the impact of the Covid-19 pandemic.</w:t>
      </w:r>
      <w:r w:rsidR="00680AD9">
        <w:rPr>
          <w:rFonts w:ascii="Verdana" w:hAnsi="Verdana"/>
        </w:rPr>
        <w:t xml:space="preserve"> i.e. the University adopts a ‘no detriment’ approach to student outcomes during this period.</w:t>
      </w:r>
    </w:p>
    <w:p w14:paraId="51306A09" w14:textId="77777777" w:rsidR="00221DD4" w:rsidRDefault="00221DD4" w:rsidP="00221DD4">
      <w:pPr>
        <w:pStyle w:val="ListParagraph"/>
        <w:spacing w:after="0"/>
        <w:ind w:left="360"/>
        <w:rPr>
          <w:rFonts w:ascii="Verdana" w:hAnsi="Verdana"/>
        </w:rPr>
      </w:pPr>
    </w:p>
    <w:p w14:paraId="4960AE71" w14:textId="02F3AC25" w:rsidR="00221DD4" w:rsidRDefault="00221DD4" w:rsidP="00221DD4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 w:rsidRPr="1EA863F9">
        <w:rPr>
          <w:rFonts w:ascii="Verdana" w:hAnsi="Verdana"/>
        </w:rPr>
        <w:t xml:space="preserve">Students are supported to complete their learning and assessment </w:t>
      </w:r>
      <w:r w:rsidR="00FE32DF" w:rsidRPr="1EA863F9">
        <w:rPr>
          <w:rFonts w:ascii="Verdana" w:hAnsi="Verdana"/>
        </w:rPr>
        <w:t xml:space="preserve">for this academic year </w:t>
      </w:r>
      <w:r w:rsidRPr="1EA863F9">
        <w:rPr>
          <w:rFonts w:ascii="Verdana" w:hAnsi="Verdana"/>
        </w:rPr>
        <w:t>where</w:t>
      </w:r>
      <w:r w:rsidR="00751D60">
        <w:rPr>
          <w:rFonts w:ascii="Verdana" w:hAnsi="Verdana"/>
        </w:rPr>
        <w:t xml:space="preserve"> the nature of the subject matter makes it</w:t>
      </w:r>
      <w:r w:rsidRPr="1EA863F9">
        <w:rPr>
          <w:rFonts w:ascii="Verdana" w:hAnsi="Verdana"/>
        </w:rPr>
        <w:t xml:space="preserve"> possible to do so.</w:t>
      </w:r>
    </w:p>
    <w:p w14:paraId="1D10F05B" w14:textId="77777777" w:rsidR="00C33832" w:rsidRPr="00C33832" w:rsidRDefault="00C33832" w:rsidP="00C33832">
      <w:pPr>
        <w:pStyle w:val="ListParagraph"/>
        <w:rPr>
          <w:rFonts w:ascii="Verdana" w:hAnsi="Verdana"/>
        </w:rPr>
      </w:pPr>
    </w:p>
    <w:p w14:paraId="2DE19B97" w14:textId="4623F6C7" w:rsidR="00C33832" w:rsidRDefault="00A251C3" w:rsidP="00221DD4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t>For students studying at undergraduate level, that they</w:t>
      </w:r>
      <w:r w:rsidR="00C33832" w:rsidRPr="2A78D7A4">
        <w:rPr>
          <w:rFonts w:ascii="Verdana" w:hAnsi="Verdana"/>
        </w:rPr>
        <w:t xml:space="preserve"> </w:t>
      </w:r>
      <w:proofErr w:type="gramStart"/>
      <w:r w:rsidR="00C33832" w:rsidRPr="2A78D7A4">
        <w:rPr>
          <w:rFonts w:ascii="Verdana" w:hAnsi="Verdana"/>
        </w:rPr>
        <w:t xml:space="preserve">are </w:t>
      </w:r>
      <w:r w:rsidR="00751D60" w:rsidRPr="2A78D7A4">
        <w:rPr>
          <w:rFonts w:ascii="Verdana" w:hAnsi="Verdana"/>
        </w:rPr>
        <w:t>able</w:t>
      </w:r>
      <w:r w:rsidR="00C33832" w:rsidRPr="2A78D7A4">
        <w:rPr>
          <w:rFonts w:ascii="Verdana" w:hAnsi="Verdana"/>
        </w:rPr>
        <w:t xml:space="preserve"> to</w:t>
      </w:r>
      <w:proofErr w:type="gramEnd"/>
      <w:r w:rsidR="00C33832" w:rsidRPr="2A78D7A4">
        <w:rPr>
          <w:rFonts w:ascii="Verdana" w:hAnsi="Verdana"/>
        </w:rPr>
        <w:t xml:space="preserve"> progress </w:t>
      </w:r>
      <w:r w:rsidR="00C33832" w:rsidRPr="2F1A1475">
        <w:rPr>
          <w:rFonts w:ascii="Verdana" w:hAnsi="Verdana"/>
          <w:i/>
          <w:iCs/>
        </w:rPr>
        <w:t>subject to completion</w:t>
      </w:r>
      <w:r w:rsidR="00C33832" w:rsidRPr="2A78D7A4">
        <w:rPr>
          <w:rFonts w:ascii="Verdana" w:hAnsi="Verdana"/>
        </w:rPr>
        <w:t xml:space="preserve"> where </w:t>
      </w:r>
      <w:r w:rsidR="00751D60" w:rsidRPr="2A78D7A4">
        <w:rPr>
          <w:rFonts w:ascii="Verdana" w:hAnsi="Verdana"/>
        </w:rPr>
        <w:t>the nature of the subject matter means that it</w:t>
      </w:r>
      <w:r w:rsidR="00C33832" w:rsidRPr="2A78D7A4">
        <w:rPr>
          <w:rFonts w:ascii="Verdana" w:hAnsi="Verdana"/>
        </w:rPr>
        <w:t xml:space="preserve"> is not possible for their learning and assessment</w:t>
      </w:r>
      <w:r w:rsidR="00FE32DF" w:rsidRPr="2A78D7A4">
        <w:rPr>
          <w:rFonts w:ascii="Verdana" w:hAnsi="Verdana"/>
        </w:rPr>
        <w:t xml:space="preserve"> for this academic year</w:t>
      </w:r>
      <w:r w:rsidR="00C33832" w:rsidRPr="2A78D7A4">
        <w:rPr>
          <w:rFonts w:ascii="Verdana" w:hAnsi="Verdana"/>
        </w:rPr>
        <w:t xml:space="preserve"> to be </w:t>
      </w:r>
      <w:r w:rsidR="00C33832" w:rsidRPr="2A78D7A4">
        <w:rPr>
          <w:rFonts w:ascii="Verdana" w:hAnsi="Verdana"/>
        </w:rPr>
        <w:lastRenderedPageBreak/>
        <w:t>completed.</w:t>
      </w:r>
      <w:r w:rsidR="00751D60" w:rsidRPr="2A78D7A4">
        <w:rPr>
          <w:rFonts w:ascii="Verdana" w:hAnsi="Verdana"/>
        </w:rPr>
        <w:t xml:space="preserve">  Post-emergency deadlines will be established for retrieval of outstanding work</w:t>
      </w:r>
      <w:r w:rsidR="002C1F38">
        <w:rPr>
          <w:rStyle w:val="FootnoteReference"/>
          <w:rFonts w:ascii="Verdana" w:hAnsi="Verdana"/>
        </w:rPr>
        <w:footnoteReference w:id="2"/>
      </w:r>
      <w:r w:rsidR="00751D60" w:rsidRPr="2A78D7A4">
        <w:rPr>
          <w:rFonts w:ascii="Verdana" w:hAnsi="Verdana"/>
        </w:rPr>
        <w:t>.</w:t>
      </w:r>
    </w:p>
    <w:p w14:paraId="431AC31A" w14:textId="77777777" w:rsidR="00221DD4" w:rsidRPr="00221DD4" w:rsidRDefault="00221DD4" w:rsidP="00221DD4">
      <w:pPr>
        <w:pStyle w:val="ListParagraph"/>
        <w:rPr>
          <w:rFonts w:ascii="Verdana" w:hAnsi="Verdana"/>
        </w:rPr>
      </w:pPr>
    </w:p>
    <w:p w14:paraId="74BB8EB7" w14:textId="68787293" w:rsidR="00221DD4" w:rsidRDefault="03F7C98D" w:rsidP="36CD3B22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 w:rsidRPr="36CD3B22">
        <w:rPr>
          <w:rFonts w:ascii="Verdana" w:hAnsi="Verdana"/>
        </w:rPr>
        <w:t>Assessment against and achievement of Module and Programme Learning Outcomes, including any Learning Outcomes</w:t>
      </w:r>
      <w:r w:rsidR="2C9DC9D3" w:rsidRPr="36CD3B22">
        <w:rPr>
          <w:rFonts w:ascii="Verdana" w:hAnsi="Verdana"/>
        </w:rPr>
        <w:t xml:space="preserve"> and associated supplementary</w:t>
      </w:r>
      <w:r w:rsidR="581BBBE3" w:rsidRPr="36CD3B22">
        <w:rPr>
          <w:rFonts w:ascii="Verdana" w:hAnsi="Verdana"/>
        </w:rPr>
        <w:t xml:space="preserve"> </w:t>
      </w:r>
      <w:r w:rsidR="2C9DC9D3" w:rsidRPr="36CD3B22">
        <w:rPr>
          <w:rFonts w:ascii="Verdana" w:hAnsi="Verdana"/>
        </w:rPr>
        <w:t>regulations</w:t>
      </w:r>
      <w:r w:rsidRPr="36CD3B22">
        <w:rPr>
          <w:rFonts w:ascii="Verdana" w:hAnsi="Verdana"/>
        </w:rPr>
        <w:t xml:space="preserve"> mandated by Professional, Regulatory or Statutory Bodies, remains </w:t>
      </w:r>
      <w:r w:rsidR="0A60F375" w:rsidRPr="36CD3B22">
        <w:rPr>
          <w:rFonts w:ascii="Verdana" w:hAnsi="Verdana"/>
        </w:rPr>
        <w:t xml:space="preserve">the cornerstone of the University’s </w:t>
      </w:r>
      <w:r w:rsidR="2C9DC9D3" w:rsidRPr="36CD3B22">
        <w:rPr>
          <w:rFonts w:ascii="Verdana" w:hAnsi="Verdana"/>
        </w:rPr>
        <w:t>approach to the award of credit</w:t>
      </w:r>
      <w:r w:rsidRPr="36CD3B22">
        <w:rPr>
          <w:rFonts w:ascii="Verdana" w:hAnsi="Verdana"/>
        </w:rPr>
        <w:t>.</w:t>
      </w:r>
    </w:p>
    <w:p w14:paraId="5A5EED41" w14:textId="77777777" w:rsidR="00221DD4" w:rsidRPr="00221DD4" w:rsidRDefault="00221DD4" w:rsidP="00221DD4">
      <w:pPr>
        <w:pStyle w:val="ListParagraph"/>
        <w:rPr>
          <w:rFonts w:ascii="Verdana" w:hAnsi="Verdana"/>
        </w:rPr>
      </w:pPr>
    </w:p>
    <w:p w14:paraId="06C0AA50" w14:textId="2BDA82BA" w:rsidR="00221DD4" w:rsidRDefault="03F7C98D" w:rsidP="00221DD4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 w:rsidRPr="36CD3B22">
        <w:rPr>
          <w:rFonts w:ascii="Verdana" w:hAnsi="Verdana"/>
        </w:rPr>
        <w:t xml:space="preserve">Maintenance of institutional and sector standards </w:t>
      </w:r>
      <w:r w:rsidR="0A60F375" w:rsidRPr="36CD3B22">
        <w:rPr>
          <w:rFonts w:ascii="Verdana" w:hAnsi="Verdana"/>
        </w:rPr>
        <w:t>is paramount</w:t>
      </w:r>
      <w:r w:rsidRPr="36CD3B22">
        <w:rPr>
          <w:rFonts w:ascii="Verdana" w:hAnsi="Verdana"/>
        </w:rPr>
        <w:t>.</w:t>
      </w:r>
    </w:p>
    <w:p w14:paraId="28526E6B" w14:textId="77777777" w:rsidR="00221DD4" w:rsidRPr="00221DD4" w:rsidRDefault="00221DD4" w:rsidP="00221DD4">
      <w:pPr>
        <w:pStyle w:val="ListParagraph"/>
        <w:spacing w:after="0"/>
        <w:rPr>
          <w:rFonts w:ascii="Verdana" w:hAnsi="Verdana"/>
        </w:rPr>
      </w:pPr>
    </w:p>
    <w:p w14:paraId="7D62D0EA" w14:textId="4A87339E" w:rsidR="00221DD4" w:rsidRPr="007F0BF0" w:rsidRDefault="00221DD4" w:rsidP="2A78D7A4">
      <w:pPr>
        <w:spacing w:after="0"/>
        <w:rPr>
          <w:rFonts w:ascii="Verdana" w:hAnsi="Verdana"/>
          <w:b/>
          <w:bCs/>
        </w:rPr>
      </w:pPr>
      <w:r w:rsidRPr="2A78D7A4">
        <w:rPr>
          <w:rFonts w:ascii="Verdana" w:hAnsi="Verdana"/>
          <w:b/>
          <w:bCs/>
        </w:rPr>
        <w:t xml:space="preserve">Emergency </w:t>
      </w:r>
      <w:r w:rsidR="00F45C03" w:rsidRPr="2A78D7A4">
        <w:rPr>
          <w:rFonts w:ascii="Verdana" w:hAnsi="Verdana"/>
          <w:b/>
          <w:bCs/>
        </w:rPr>
        <w:t xml:space="preserve">Academic and Student </w:t>
      </w:r>
      <w:r w:rsidRPr="2A78D7A4">
        <w:rPr>
          <w:rFonts w:ascii="Verdana" w:hAnsi="Verdana"/>
          <w:b/>
          <w:bCs/>
        </w:rPr>
        <w:t>Regulations</w:t>
      </w:r>
      <w:r w:rsidR="006B2356">
        <w:rPr>
          <w:rStyle w:val="FootnoteReference"/>
          <w:rFonts w:ascii="Verdana" w:hAnsi="Verdana"/>
          <w:b/>
          <w:bCs/>
        </w:rPr>
        <w:footnoteReference w:id="3"/>
      </w:r>
    </w:p>
    <w:p w14:paraId="52F59D3D" w14:textId="3EEC499D" w:rsidR="00221DD4" w:rsidRDefault="00221DD4" w:rsidP="00221DD4">
      <w:pPr>
        <w:spacing w:after="0"/>
        <w:rPr>
          <w:rFonts w:ascii="Verdana" w:hAnsi="Verdana"/>
        </w:rPr>
      </w:pPr>
    </w:p>
    <w:p w14:paraId="09D0D026" w14:textId="2C97D8AC" w:rsidR="00697C60" w:rsidRDefault="00697C60" w:rsidP="00221DD4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The table below sets out the </w:t>
      </w:r>
      <w:r w:rsidR="00F9015D">
        <w:rPr>
          <w:rFonts w:ascii="Verdana" w:hAnsi="Verdana"/>
        </w:rPr>
        <w:t xml:space="preserve">revised </w:t>
      </w:r>
      <w:r>
        <w:rPr>
          <w:rFonts w:ascii="Verdana" w:hAnsi="Verdana"/>
        </w:rPr>
        <w:t>Emergency Regulations for the 2020/21 academic year.</w:t>
      </w:r>
    </w:p>
    <w:p w14:paraId="3AEB7575" w14:textId="77777777" w:rsidR="00697C60" w:rsidRDefault="00697C60" w:rsidP="00221DD4">
      <w:pPr>
        <w:spacing w:after="0"/>
        <w:rPr>
          <w:rFonts w:ascii="Verdana" w:hAnsi="Verdana"/>
        </w:rPr>
      </w:pPr>
    </w:p>
    <w:p w14:paraId="339E0D4B" w14:textId="57353168" w:rsidR="00C33832" w:rsidRPr="007F0BF0" w:rsidRDefault="00A251C3" w:rsidP="00221DD4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For Levels 3-7</w:t>
      </w:r>
    </w:p>
    <w:p w14:paraId="5170D1CF" w14:textId="77777777" w:rsidR="00C33832" w:rsidRDefault="00C33832" w:rsidP="00221DD4">
      <w:pPr>
        <w:spacing w:after="0"/>
        <w:rPr>
          <w:rFonts w:ascii="Verdana" w:hAnsi="Verdan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"/>
        <w:gridCol w:w="2440"/>
        <w:gridCol w:w="5619"/>
      </w:tblGrid>
      <w:tr w:rsidR="006368D8" w14:paraId="65EFB0B1" w14:textId="44EEA3A1" w:rsidTr="006368D8">
        <w:trPr>
          <w:tblHeader/>
        </w:trPr>
        <w:tc>
          <w:tcPr>
            <w:tcW w:w="531" w:type="pct"/>
          </w:tcPr>
          <w:p w14:paraId="474137C0" w14:textId="77777777" w:rsidR="006368D8" w:rsidRPr="00221DD4" w:rsidRDefault="006368D8" w:rsidP="00221DD4">
            <w:pPr>
              <w:rPr>
                <w:rFonts w:ascii="Verdana" w:hAnsi="Verdana"/>
                <w:b/>
              </w:rPr>
            </w:pPr>
            <w:bookmarkStart w:id="2" w:name="_Hlk43841410"/>
          </w:p>
        </w:tc>
        <w:tc>
          <w:tcPr>
            <w:tcW w:w="1353" w:type="pct"/>
          </w:tcPr>
          <w:p w14:paraId="702DCAB0" w14:textId="6999AAFA" w:rsidR="006368D8" w:rsidRPr="00221DD4" w:rsidRDefault="006368D8" w:rsidP="00221DD4">
            <w:pPr>
              <w:rPr>
                <w:rFonts w:ascii="Verdana" w:hAnsi="Verdana"/>
                <w:b/>
              </w:rPr>
            </w:pPr>
            <w:r w:rsidRPr="00221DD4">
              <w:rPr>
                <w:rFonts w:ascii="Verdana" w:hAnsi="Verdana"/>
                <w:b/>
              </w:rPr>
              <w:t>Current regulation</w:t>
            </w:r>
            <w:r>
              <w:rPr>
                <w:rStyle w:val="FootnoteReference"/>
                <w:rFonts w:ascii="Verdana" w:hAnsi="Verdana"/>
                <w:b/>
              </w:rPr>
              <w:footnoteReference w:id="4"/>
            </w:r>
          </w:p>
        </w:tc>
        <w:tc>
          <w:tcPr>
            <w:tcW w:w="3116" w:type="pct"/>
          </w:tcPr>
          <w:p w14:paraId="0DDABA71" w14:textId="55C39A73" w:rsidR="006368D8" w:rsidRDefault="006368D8" w:rsidP="1EA863F9">
            <w:pPr>
              <w:rPr>
                <w:rFonts w:ascii="Verdana" w:hAnsi="Verdana"/>
                <w:b/>
                <w:bCs/>
              </w:rPr>
            </w:pPr>
            <w:r w:rsidRPr="1EA863F9">
              <w:rPr>
                <w:rFonts w:ascii="Verdana" w:hAnsi="Verdana"/>
                <w:b/>
                <w:bCs/>
              </w:rPr>
              <w:t xml:space="preserve">Emergency Regulation </w:t>
            </w:r>
            <w:r>
              <w:rPr>
                <w:rFonts w:ascii="Verdana" w:hAnsi="Verdana"/>
                <w:b/>
                <w:bCs/>
              </w:rPr>
              <w:t>20/21</w:t>
            </w:r>
          </w:p>
          <w:p w14:paraId="27C5AFA2" w14:textId="7AF115B5" w:rsidR="006368D8" w:rsidRPr="00221DD4" w:rsidRDefault="006368D8" w:rsidP="00221DD4">
            <w:pPr>
              <w:rPr>
                <w:rFonts w:ascii="Verdana" w:hAnsi="Verdana"/>
                <w:b/>
              </w:rPr>
            </w:pPr>
          </w:p>
        </w:tc>
      </w:tr>
      <w:tr w:rsidR="006368D8" w14:paraId="27D09272" w14:textId="1E9E413B" w:rsidTr="006368D8">
        <w:tc>
          <w:tcPr>
            <w:tcW w:w="531" w:type="pct"/>
          </w:tcPr>
          <w:p w14:paraId="4D96F953" w14:textId="67ABF7CD" w:rsidR="006368D8" w:rsidRDefault="006368D8" w:rsidP="00221D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353" w:type="pct"/>
          </w:tcPr>
          <w:p w14:paraId="212DAC28" w14:textId="3EE0B545" w:rsidR="006368D8" w:rsidRDefault="006368D8" w:rsidP="00221D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3.7.11</w:t>
            </w:r>
          </w:p>
          <w:p w14:paraId="375A6426" w14:textId="1655A4E6" w:rsidR="006368D8" w:rsidRDefault="006368D8" w:rsidP="00221D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(p41)</w:t>
            </w:r>
          </w:p>
        </w:tc>
        <w:tc>
          <w:tcPr>
            <w:tcW w:w="3116" w:type="pct"/>
          </w:tcPr>
          <w:p w14:paraId="21C0C439" w14:textId="7914BB86" w:rsidR="006368D8" w:rsidRDefault="006368D8" w:rsidP="00221DD4">
            <w:pPr>
              <w:rPr>
                <w:rFonts w:ascii="Verdana" w:hAnsi="Verdana"/>
              </w:rPr>
            </w:pPr>
            <w:r w:rsidRPr="2F1A1475">
              <w:rPr>
                <w:rFonts w:ascii="Verdana" w:hAnsi="Verdana"/>
              </w:rPr>
              <w:t>Suspension of this Regulation [Removal of resit rights for students with module G grades at the first Assessment Board]</w:t>
            </w:r>
          </w:p>
          <w:p w14:paraId="7B347DF1" w14:textId="77777777" w:rsidR="006368D8" w:rsidRDefault="006368D8" w:rsidP="00221DD4">
            <w:pPr>
              <w:rPr>
                <w:rFonts w:ascii="Verdana" w:hAnsi="Verdana"/>
              </w:rPr>
            </w:pPr>
          </w:p>
        </w:tc>
      </w:tr>
      <w:tr w:rsidR="006368D8" w14:paraId="65B98707" w14:textId="0286C4AF" w:rsidTr="006368D8">
        <w:tc>
          <w:tcPr>
            <w:tcW w:w="531" w:type="pct"/>
          </w:tcPr>
          <w:p w14:paraId="35176EA3" w14:textId="4B4E5BEC" w:rsidR="006368D8" w:rsidRDefault="006368D8" w:rsidP="00221D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353" w:type="pct"/>
          </w:tcPr>
          <w:p w14:paraId="14367791" w14:textId="4FD83934" w:rsidR="006368D8" w:rsidRDefault="006368D8" w:rsidP="00221D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3.5.11</w:t>
            </w:r>
          </w:p>
          <w:p w14:paraId="301424EE" w14:textId="7E2B08C4" w:rsidR="006368D8" w:rsidRDefault="006368D8" w:rsidP="00221D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(p38)</w:t>
            </w:r>
          </w:p>
          <w:p w14:paraId="690AEEF9" w14:textId="77777777" w:rsidR="006368D8" w:rsidRDefault="006368D8" w:rsidP="00221DD4">
            <w:pPr>
              <w:rPr>
                <w:rFonts w:ascii="Verdana" w:hAnsi="Verdana"/>
              </w:rPr>
            </w:pPr>
          </w:p>
          <w:p w14:paraId="655E22BB" w14:textId="2E49D9D5" w:rsidR="006368D8" w:rsidRDefault="006368D8" w:rsidP="00221D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3.10.2-3.10.8</w:t>
            </w:r>
          </w:p>
          <w:p w14:paraId="078ED7B0" w14:textId="629F1556" w:rsidR="006368D8" w:rsidRDefault="006368D8" w:rsidP="00221D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(p44-5)</w:t>
            </w:r>
          </w:p>
        </w:tc>
        <w:tc>
          <w:tcPr>
            <w:tcW w:w="3116" w:type="pct"/>
          </w:tcPr>
          <w:p w14:paraId="4EAAF8DC" w14:textId="77777777" w:rsidR="006368D8" w:rsidRDefault="006368D8" w:rsidP="006368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Revisions to the Mitigating Circumstances Policy to minimise the administrative burden on students. This might include some component of self-certification by students.</w:t>
            </w:r>
          </w:p>
          <w:p w14:paraId="694AAFDB" w14:textId="1019FBAC" w:rsidR="006368D8" w:rsidRDefault="006368D8" w:rsidP="00F46030">
            <w:pPr>
              <w:rPr>
                <w:rFonts w:ascii="Verdana" w:hAnsi="Verdana"/>
              </w:rPr>
            </w:pPr>
          </w:p>
          <w:p w14:paraId="4FD8B09A" w14:textId="714883AD" w:rsidR="006368D8" w:rsidRDefault="006368D8" w:rsidP="00F4603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Incorporation of a new option into existing processes (Study Breaks, Restarts etc) that will allow students to identify that their request is being made because of Covid-19. This will enable the teams considering those requests to do so in a manner that takes the specific circumstances around Covid-19 into account.</w:t>
            </w:r>
          </w:p>
          <w:p w14:paraId="1460EEE5" w14:textId="105097CF" w:rsidR="006368D8" w:rsidRDefault="006368D8" w:rsidP="00F46030">
            <w:pPr>
              <w:rPr>
                <w:rFonts w:ascii="Verdana" w:hAnsi="Verdana"/>
              </w:rPr>
            </w:pPr>
          </w:p>
        </w:tc>
      </w:tr>
      <w:tr w:rsidR="006368D8" w14:paraId="38C06574" w14:textId="7B9EFB74" w:rsidTr="006368D8">
        <w:tc>
          <w:tcPr>
            <w:tcW w:w="531" w:type="pct"/>
          </w:tcPr>
          <w:p w14:paraId="704A0D07" w14:textId="74C5F3BD" w:rsidR="006368D8" w:rsidRDefault="006368D8" w:rsidP="00221D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353" w:type="pct"/>
          </w:tcPr>
          <w:p w14:paraId="1C38B03E" w14:textId="77105186" w:rsidR="006368D8" w:rsidRDefault="006368D8" w:rsidP="00221D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3.5.4</w:t>
            </w:r>
          </w:p>
          <w:p w14:paraId="287664E0" w14:textId="77777777" w:rsidR="006368D8" w:rsidRDefault="006368D8" w:rsidP="00221D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3.5.5</w:t>
            </w:r>
          </w:p>
          <w:p w14:paraId="6FC88C9D" w14:textId="2D5C0278" w:rsidR="006368D8" w:rsidRDefault="006368D8" w:rsidP="00221D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(p37)</w:t>
            </w:r>
          </w:p>
        </w:tc>
        <w:tc>
          <w:tcPr>
            <w:tcW w:w="3116" w:type="pct"/>
          </w:tcPr>
          <w:p w14:paraId="14639870" w14:textId="77777777" w:rsidR="006368D8" w:rsidRDefault="006368D8" w:rsidP="00221DD4">
            <w:pPr>
              <w:rPr>
                <w:rFonts w:ascii="Verdana" w:hAnsi="Verdana"/>
              </w:rPr>
            </w:pPr>
            <w:r w:rsidRPr="2A78D7A4">
              <w:rPr>
                <w:rFonts w:ascii="Verdana" w:hAnsi="Verdana"/>
              </w:rPr>
              <w:t>Where grades for a module are incomplete, the final module grade will be calculated from the grades of the existing assessment components in the following circumstances:</w:t>
            </w:r>
          </w:p>
          <w:p w14:paraId="4A33578C" w14:textId="77777777" w:rsidR="006368D8" w:rsidRDefault="006368D8" w:rsidP="00221DD4">
            <w:pPr>
              <w:rPr>
                <w:rFonts w:ascii="Verdana" w:hAnsi="Verdana"/>
              </w:rPr>
            </w:pPr>
          </w:p>
          <w:p w14:paraId="6F75F115" w14:textId="77777777" w:rsidR="006368D8" w:rsidRDefault="006368D8" w:rsidP="00577670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</w:t>
            </w:r>
            <w:r w:rsidRPr="00577670">
              <w:rPr>
                <w:rFonts w:ascii="Verdana" w:hAnsi="Verdana"/>
              </w:rPr>
              <w:t>f these are worth at least 50% of the</w:t>
            </w:r>
            <w:r>
              <w:rPr>
                <w:rFonts w:ascii="Verdana" w:hAnsi="Verdana"/>
              </w:rPr>
              <w:t xml:space="preserve"> total module mark</w:t>
            </w:r>
          </w:p>
          <w:p w14:paraId="7032D3E3" w14:textId="77777777" w:rsidR="006368D8" w:rsidRDefault="006368D8" w:rsidP="00577670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</w:t>
            </w:r>
            <w:r w:rsidRPr="00577670">
              <w:rPr>
                <w:rFonts w:ascii="Verdana" w:hAnsi="Verdana"/>
              </w:rPr>
              <w:t xml:space="preserve">here at least 2/3 </w:t>
            </w:r>
            <w:r>
              <w:rPr>
                <w:rFonts w:ascii="Verdana" w:hAnsi="Verdana"/>
              </w:rPr>
              <w:t xml:space="preserve">of the total credits for the level in question </w:t>
            </w:r>
            <w:r w:rsidRPr="00577670">
              <w:rPr>
                <w:rFonts w:ascii="Verdana" w:hAnsi="Verdana"/>
              </w:rPr>
              <w:t>have</w:t>
            </w:r>
            <w:r>
              <w:rPr>
                <w:rFonts w:ascii="Verdana" w:hAnsi="Verdana"/>
              </w:rPr>
              <w:t xml:space="preserve"> complete module grades</w:t>
            </w:r>
          </w:p>
          <w:p w14:paraId="7BC74A0F" w14:textId="5DDCE7C3" w:rsidR="006368D8" w:rsidRPr="00577670" w:rsidRDefault="006368D8" w:rsidP="00577670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</w:t>
            </w:r>
            <w:r w:rsidRPr="00577670">
              <w:rPr>
                <w:rFonts w:ascii="Verdana" w:hAnsi="Verdana"/>
              </w:rPr>
              <w:t>here</w:t>
            </w:r>
            <w:r>
              <w:rPr>
                <w:rFonts w:ascii="Verdana" w:hAnsi="Verdana"/>
              </w:rPr>
              <w:t xml:space="preserve"> the</w:t>
            </w:r>
            <w:r w:rsidRPr="00577670">
              <w:rPr>
                <w:rFonts w:ascii="Verdana" w:hAnsi="Verdana"/>
              </w:rPr>
              <w:t xml:space="preserve"> programme leader can demonstrate completion of</w:t>
            </w:r>
            <w:r>
              <w:rPr>
                <w:rFonts w:ascii="Verdana" w:hAnsi="Verdana"/>
              </w:rPr>
              <w:t xml:space="preserve"> all</w:t>
            </w:r>
            <w:r w:rsidRPr="00577670">
              <w:rPr>
                <w:rFonts w:ascii="Verdana" w:hAnsi="Verdana"/>
              </w:rPr>
              <w:t xml:space="preserve"> PLOs </w:t>
            </w:r>
            <w:r>
              <w:rPr>
                <w:rFonts w:ascii="Verdana" w:hAnsi="Verdana"/>
              </w:rPr>
              <w:t>(either already or through modules to be completed in following years)</w:t>
            </w:r>
          </w:p>
          <w:p w14:paraId="5A03AEC9" w14:textId="77777777" w:rsidR="006368D8" w:rsidRDefault="006368D8" w:rsidP="00221DD4">
            <w:pPr>
              <w:rPr>
                <w:rFonts w:ascii="Verdana" w:hAnsi="Verdana"/>
              </w:rPr>
            </w:pPr>
          </w:p>
          <w:p w14:paraId="394F67B3" w14:textId="77777777" w:rsidR="006368D8" w:rsidRDefault="006368D8" w:rsidP="00221DD4">
            <w:pPr>
              <w:rPr>
                <w:rFonts w:ascii="Verdana" w:hAnsi="Verdana"/>
                <w:i/>
              </w:rPr>
            </w:pPr>
            <w:r w:rsidRPr="00EF3135">
              <w:rPr>
                <w:rFonts w:ascii="Verdana" w:hAnsi="Verdana"/>
                <w:i/>
              </w:rPr>
              <w:t>NB –</w:t>
            </w:r>
            <w:r>
              <w:rPr>
                <w:rFonts w:ascii="Verdana" w:hAnsi="Verdana"/>
                <w:i/>
              </w:rPr>
              <w:t xml:space="preserve"> </w:t>
            </w:r>
            <w:r w:rsidRPr="00EF3135">
              <w:rPr>
                <w:rFonts w:ascii="Verdana" w:hAnsi="Verdana"/>
                <w:i/>
              </w:rPr>
              <w:t xml:space="preserve">final year students [Level 6, Level 7, Level 5 for students registered on an HND or Foundation Degree] </w:t>
            </w:r>
            <w:r>
              <w:rPr>
                <w:rFonts w:ascii="Verdana" w:hAnsi="Verdana"/>
                <w:i/>
              </w:rPr>
              <w:t xml:space="preserve">who </w:t>
            </w:r>
            <w:r w:rsidRPr="00EF3135">
              <w:rPr>
                <w:rFonts w:ascii="Verdana" w:hAnsi="Verdana"/>
                <w:i/>
              </w:rPr>
              <w:t xml:space="preserve">prefer to wait for an opportunity to complete all assessments within a module, </w:t>
            </w:r>
            <w:r>
              <w:rPr>
                <w:rFonts w:ascii="Verdana" w:hAnsi="Verdana"/>
                <w:i/>
              </w:rPr>
              <w:t>in case this affects the overall module grade, will be given this opportunity even if it means that completion is delayed.</w:t>
            </w:r>
          </w:p>
          <w:p w14:paraId="2771185D" w14:textId="358E90A2" w:rsidR="006368D8" w:rsidRPr="00EF3135" w:rsidRDefault="006368D8" w:rsidP="00221DD4">
            <w:pPr>
              <w:rPr>
                <w:rFonts w:ascii="Verdana" w:hAnsi="Verdana"/>
                <w:i/>
              </w:rPr>
            </w:pPr>
          </w:p>
        </w:tc>
      </w:tr>
      <w:tr w:rsidR="006368D8" w14:paraId="0507BCB2" w14:textId="0865E7BF" w:rsidTr="006368D8">
        <w:tc>
          <w:tcPr>
            <w:tcW w:w="531" w:type="pct"/>
          </w:tcPr>
          <w:p w14:paraId="6574F927" w14:textId="3A84C688" w:rsidR="006368D8" w:rsidRDefault="006368D8" w:rsidP="00221D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353" w:type="pct"/>
          </w:tcPr>
          <w:p w14:paraId="1107CA10" w14:textId="2CB98D78" w:rsidR="006368D8" w:rsidRDefault="006368D8" w:rsidP="00221D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3.7.3</w:t>
            </w:r>
          </w:p>
          <w:p w14:paraId="7F863DF1" w14:textId="7AB692C8" w:rsidR="006368D8" w:rsidRDefault="006368D8" w:rsidP="00221D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3.7.4</w:t>
            </w:r>
          </w:p>
          <w:p w14:paraId="4929F812" w14:textId="367E86E9" w:rsidR="006368D8" w:rsidRDefault="006368D8" w:rsidP="00221D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(p40)</w:t>
            </w:r>
          </w:p>
          <w:p w14:paraId="2F0A78EE" w14:textId="3FCE0599" w:rsidR="006368D8" w:rsidRDefault="006368D8" w:rsidP="00221DD4">
            <w:pPr>
              <w:rPr>
                <w:rFonts w:ascii="Verdana" w:hAnsi="Verdana"/>
              </w:rPr>
            </w:pPr>
          </w:p>
          <w:p w14:paraId="5DB98ED4" w14:textId="54869705" w:rsidR="006368D8" w:rsidRDefault="006368D8" w:rsidP="00221D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3.3.2</w:t>
            </w:r>
          </w:p>
          <w:p w14:paraId="4A5C8C1C" w14:textId="0549DD00" w:rsidR="006368D8" w:rsidRDefault="006368D8" w:rsidP="00221D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3.3.3</w:t>
            </w:r>
          </w:p>
          <w:p w14:paraId="7DB0041D" w14:textId="07A13714" w:rsidR="006368D8" w:rsidRDefault="006368D8" w:rsidP="00221D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(p33)</w:t>
            </w:r>
          </w:p>
          <w:p w14:paraId="70204D0B" w14:textId="7AB7FD88" w:rsidR="006368D8" w:rsidRDefault="006368D8" w:rsidP="00221DD4">
            <w:pPr>
              <w:rPr>
                <w:rFonts w:ascii="Verdana" w:hAnsi="Verdana"/>
              </w:rPr>
            </w:pPr>
          </w:p>
        </w:tc>
        <w:tc>
          <w:tcPr>
            <w:tcW w:w="3116" w:type="pct"/>
          </w:tcPr>
          <w:p w14:paraId="22389B28" w14:textId="6476FC00" w:rsidR="006368D8" w:rsidRDefault="006368D8" w:rsidP="00221DD4">
            <w:pPr>
              <w:rPr>
                <w:rFonts w:ascii="Verdana" w:hAnsi="Verdana"/>
              </w:rPr>
            </w:pPr>
            <w:r w:rsidRPr="2A78D7A4">
              <w:rPr>
                <w:rFonts w:ascii="Verdana" w:hAnsi="Verdana"/>
              </w:rPr>
              <w:t>Students will progress provisionally subject to completion of any modules that remain incomplete due to the nature of the subject matter and/or assessment type. A final deadline for retrieval of outstanding assessments and completion of those modules will be established.</w:t>
            </w:r>
            <w:r>
              <w:rPr>
                <w:rFonts w:ascii="Verdana" w:hAnsi="Verdana"/>
              </w:rPr>
              <w:t xml:space="preserve"> NB this is only relevant where a module remains incomplete and not where a student has failed a module following completion of all available assessment opportunities.</w:t>
            </w:r>
          </w:p>
          <w:p w14:paraId="70A50041" w14:textId="77777777" w:rsidR="006368D8" w:rsidRDefault="006368D8" w:rsidP="00221DD4">
            <w:pPr>
              <w:rPr>
                <w:rFonts w:ascii="Verdana" w:hAnsi="Verdana"/>
              </w:rPr>
            </w:pPr>
          </w:p>
        </w:tc>
      </w:tr>
      <w:tr w:rsidR="006368D8" w14:paraId="3038BECB" w14:textId="5608863E" w:rsidTr="006368D8">
        <w:tc>
          <w:tcPr>
            <w:tcW w:w="531" w:type="pct"/>
          </w:tcPr>
          <w:p w14:paraId="20A4D387" w14:textId="2E55CAD5" w:rsidR="006368D8" w:rsidRDefault="006368D8" w:rsidP="00221D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353" w:type="pct"/>
          </w:tcPr>
          <w:p w14:paraId="2EAEE94D" w14:textId="3591422F" w:rsidR="006368D8" w:rsidRDefault="006368D8" w:rsidP="00221D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3.7.13</w:t>
            </w:r>
          </w:p>
          <w:p w14:paraId="14DEAE8A" w14:textId="39BD23F1" w:rsidR="006368D8" w:rsidRDefault="006368D8" w:rsidP="00221D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(p41)</w:t>
            </w:r>
          </w:p>
        </w:tc>
        <w:tc>
          <w:tcPr>
            <w:tcW w:w="3116" w:type="pct"/>
          </w:tcPr>
          <w:p w14:paraId="7E800668" w14:textId="2C84355D" w:rsidR="006368D8" w:rsidRDefault="006368D8" w:rsidP="00A0199B">
            <w:pPr>
              <w:rPr>
                <w:rFonts w:ascii="Verdana" w:hAnsi="Verdana"/>
              </w:rPr>
            </w:pPr>
            <w:r w:rsidRPr="2A78D7A4">
              <w:rPr>
                <w:rFonts w:ascii="Verdana" w:hAnsi="Verdana"/>
              </w:rPr>
              <w:t xml:space="preserve">Retain the maximum number of credits within a level that can be condoned but suspension of the requirement to attempt all items of assessment within a module to be eligible for </w:t>
            </w:r>
            <w:proofErr w:type="spellStart"/>
            <w:r w:rsidRPr="2A78D7A4">
              <w:rPr>
                <w:rFonts w:ascii="Verdana" w:hAnsi="Verdana"/>
              </w:rPr>
              <w:t>condonement</w:t>
            </w:r>
            <w:proofErr w:type="spellEnd"/>
            <w:r w:rsidRPr="2A78D7A4">
              <w:rPr>
                <w:rFonts w:ascii="Verdana" w:hAnsi="Verdana"/>
              </w:rPr>
              <w:t xml:space="preserve">. </w:t>
            </w:r>
          </w:p>
          <w:p w14:paraId="096985A5" w14:textId="063D7361" w:rsidR="006368D8" w:rsidRDefault="006368D8" w:rsidP="00A0199B">
            <w:pPr>
              <w:rPr>
                <w:rFonts w:ascii="Verdana" w:hAnsi="Verdana"/>
              </w:rPr>
            </w:pPr>
          </w:p>
        </w:tc>
      </w:tr>
      <w:tr w:rsidR="006368D8" w14:paraId="57D28A1F" w14:textId="16EBF1B0" w:rsidTr="006368D8">
        <w:tc>
          <w:tcPr>
            <w:tcW w:w="531" w:type="pct"/>
          </w:tcPr>
          <w:p w14:paraId="26AEA11E" w14:textId="42D0DD49" w:rsidR="006368D8" w:rsidRDefault="006368D8" w:rsidP="00221D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1353" w:type="pct"/>
          </w:tcPr>
          <w:p w14:paraId="2F8CC12B" w14:textId="4C95B787" w:rsidR="006368D8" w:rsidRDefault="006368D8" w:rsidP="00221D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3.7.2 </w:t>
            </w:r>
          </w:p>
          <w:p w14:paraId="2F742099" w14:textId="2817DC31" w:rsidR="006368D8" w:rsidRDefault="006368D8" w:rsidP="00221D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(p39)</w:t>
            </w:r>
          </w:p>
        </w:tc>
        <w:tc>
          <w:tcPr>
            <w:tcW w:w="3116" w:type="pct"/>
          </w:tcPr>
          <w:p w14:paraId="55E37382" w14:textId="5008E63F" w:rsidR="006368D8" w:rsidRDefault="006368D8" w:rsidP="00221D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Revisions to accumulated failure count to remove any credits failed in 2019/20</w:t>
            </w:r>
            <w:r w:rsidR="00F2155B">
              <w:rPr>
                <w:rFonts w:ascii="Verdana" w:hAnsi="Verdana"/>
              </w:rPr>
              <w:t xml:space="preserve"> that were discounted from the accumulated failure count due to the impact of Covid-19</w:t>
            </w:r>
            <w:r>
              <w:rPr>
                <w:rFonts w:ascii="Verdana" w:hAnsi="Verdana"/>
              </w:rPr>
              <w:t>.</w:t>
            </w:r>
          </w:p>
          <w:p w14:paraId="73532580" w14:textId="73332F0B" w:rsidR="006368D8" w:rsidRDefault="006368D8" w:rsidP="006368D8">
            <w:pPr>
              <w:rPr>
                <w:rFonts w:ascii="Verdana" w:hAnsi="Verdana"/>
              </w:rPr>
            </w:pPr>
          </w:p>
        </w:tc>
      </w:tr>
      <w:tr w:rsidR="006368D8" w14:paraId="50642295" w14:textId="6E8B9A3D" w:rsidTr="006368D8">
        <w:tc>
          <w:tcPr>
            <w:tcW w:w="531" w:type="pct"/>
          </w:tcPr>
          <w:p w14:paraId="027D333B" w14:textId="5AF0CA55" w:rsidR="006368D8" w:rsidRDefault="006368D8" w:rsidP="00221D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1353" w:type="pct"/>
          </w:tcPr>
          <w:p w14:paraId="1F087E5C" w14:textId="1DD4A9A7" w:rsidR="006368D8" w:rsidRDefault="006368D8" w:rsidP="00221D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3.10.9</w:t>
            </w:r>
          </w:p>
          <w:p w14:paraId="4309B362" w14:textId="10D8A5D8" w:rsidR="006368D8" w:rsidRDefault="006368D8" w:rsidP="00221D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(p45)</w:t>
            </w:r>
          </w:p>
        </w:tc>
        <w:tc>
          <w:tcPr>
            <w:tcW w:w="3116" w:type="pct"/>
          </w:tcPr>
          <w:p w14:paraId="5B01A6D7" w14:textId="3EC531AC" w:rsidR="006368D8" w:rsidRDefault="006368D8" w:rsidP="00221D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Covid-19 study break category will continue to be used, where a study break is required because of the impact of Covid-19. This is subject to different rules from the standard study break category.</w:t>
            </w:r>
          </w:p>
          <w:p w14:paraId="63D7299C" w14:textId="7D37A6A9" w:rsidR="006368D8" w:rsidRDefault="006368D8" w:rsidP="00221DD4">
            <w:pPr>
              <w:rPr>
                <w:rFonts w:ascii="Verdana" w:hAnsi="Verdana"/>
              </w:rPr>
            </w:pPr>
          </w:p>
        </w:tc>
      </w:tr>
      <w:tr w:rsidR="006368D8" w14:paraId="7A050C66" w14:textId="34F2372C" w:rsidTr="006368D8">
        <w:tc>
          <w:tcPr>
            <w:tcW w:w="531" w:type="pct"/>
          </w:tcPr>
          <w:p w14:paraId="3EA84408" w14:textId="7ED05F62" w:rsidR="006368D8" w:rsidRDefault="006368D8" w:rsidP="00221D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1353" w:type="pct"/>
          </w:tcPr>
          <w:p w14:paraId="5846C29E" w14:textId="2AF84A09" w:rsidR="006368D8" w:rsidRDefault="006368D8" w:rsidP="00221D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3.7.3 (p40)</w:t>
            </w:r>
          </w:p>
        </w:tc>
        <w:tc>
          <w:tcPr>
            <w:tcW w:w="3116" w:type="pct"/>
          </w:tcPr>
          <w:p w14:paraId="297E42CC" w14:textId="123CAC8E" w:rsidR="006368D8" w:rsidRDefault="006368D8" w:rsidP="00221DD4">
            <w:pPr>
              <w:rPr>
                <w:rFonts w:ascii="Verdana" w:hAnsi="Verdana"/>
              </w:rPr>
            </w:pPr>
            <w:r w:rsidRPr="2AFC1C7B">
              <w:rPr>
                <w:rFonts w:ascii="Verdana" w:hAnsi="Verdana"/>
              </w:rPr>
              <w:t>Suspension of the restriction on the number of credits from a lower level that students can study alongside credits from a higher level. Students will be able to study full-time (up to a maximum of 140 credits) if repeating failed modules, subject to any pre-requisites or other restrictions that are in place.</w:t>
            </w:r>
          </w:p>
          <w:p w14:paraId="2DA50DD4" w14:textId="35DAE48A" w:rsidR="006368D8" w:rsidRDefault="006368D8" w:rsidP="00221DD4">
            <w:pPr>
              <w:rPr>
                <w:rFonts w:ascii="Verdana" w:hAnsi="Verdana"/>
              </w:rPr>
            </w:pPr>
          </w:p>
        </w:tc>
      </w:tr>
      <w:tr w:rsidR="006368D8" w14:paraId="369DFA89" w14:textId="77777777" w:rsidTr="006368D8">
        <w:tc>
          <w:tcPr>
            <w:tcW w:w="531" w:type="pct"/>
          </w:tcPr>
          <w:p w14:paraId="26CEFD97" w14:textId="71BD7663" w:rsidR="006368D8" w:rsidRDefault="006368D8" w:rsidP="00221D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  <w:tc>
          <w:tcPr>
            <w:tcW w:w="1353" w:type="pct"/>
          </w:tcPr>
          <w:p w14:paraId="6DE34DAA" w14:textId="18FB62A3" w:rsidR="006368D8" w:rsidRDefault="006368D8" w:rsidP="00221D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2.4</w:t>
            </w:r>
          </w:p>
        </w:tc>
        <w:tc>
          <w:tcPr>
            <w:tcW w:w="3116" w:type="pct"/>
          </w:tcPr>
          <w:p w14:paraId="1F4F6CEF" w14:textId="77777777" w:rsidR="006368D8" w:rsidRDefault="006368D8" w:rsidP="00221DD4">
            <w:pPr>
              <w:rPr>
                <w:rFonts w:ascii="Verdana" w:hAnsi="Verdana"/>
              </w:rPr>
            </w:pPr>
            <w:r w:rsidRPr="0A18D2E9">
              <w:rPr>
                <w:rFonts w:ascii="Verdana" w:hAnsi="Verdana"/>
              </w:rPr>
              <w:t>Algorithms for the 2020/21 graduating cohort will be considered, and any adjustments approved at Senate, around January 2021.</w:t>
            </w:r>
          </w:p>
          <w:p w14:paraId="44275B5C" w14:textId="2E0F62D6" w:rsidR="006368D8" w:rsidRDefault="006368D8" w:rsidP="00221DD4">
            <w:pPr>
              <w:rPr>
                <w:rFonts w:ascii="Verdana" w:hAnsi="Verdana"/>
              </w:rPr>
            </w:pPr>
          </w:p>
        </w:tc>
      </w:tr>
      <w:bookmarkEnd w:id="2"/>
    </w:tbl>
    <w:p w14:paraId="3004EB86" w14:textId="77777777" w:rsidR="00221DD4" w:rsidRDefault="00221DD4" w:rsidP="00221DD4">
      <w:pPr>
        <w:spacing w:after="0"/>
        <w:rPr>
          <w:rFonts w:ascii="Verdana" w:hAnsi="Verdana"/>
        </w:rPr>
      </w:pPr>
    </w:p>
    <w:p w14:paraId="48E1C6D8" w14:textId="30B24F51" w:rsidR="00DC127D" w:rsidRPr="009C6E19" w:rsidRDefault="00C33832" w:rsidP="00DC127D">
      <w:pPr>
        <w:spacing w:after="0"/>
        <w:rPr>
          <w:rFonts w:ascii="Verdana" w:hAnsi="Verdana"/>
          <w:u w:val="single"/>
        </w:rPr>
      </w:pPr>
      <w:r w:rsidRPr="00C33832">
        <w:rPr>
          <w:rFonts w:ascii="Verdana" w:hAnsi="Verdana"/>
          <w:u w:val="single"/>
        </w:rPr>
        <w:t xml:space="preserve">For Level </w:t>
      </w:r>
      <w:r w:rsidRPr="009C6E19">
        <w:rPr>
          <w:rFonts w:ascii="Verdana" w:hAnsi="Verdana"/>
          <w:u w:val="single"/>
        </w:rPr>
        <w:t xml:space="preserve">8 </w:t>
      </w:r>
      <w:bookmarkStart w:id="3" w:name="_Hlk43841566"/>
      <w:r w:rsidR="0019765E" w:rsidRPr="009C6E19">
        <w:rPr>
          <w:rFonts w:ascii="Verdana" w:hAnsi="Verdana"/>
          <w:u w:val="single"/>
        </w:rPr>
        <w:t>F</w:t>
      </w:r>
      <w:r w:rsidR="00DC127D" w:rsidRPr="009C6E19">
        <w:rPr>
          <w:rFonts w:ascii="Verdana" w:hAnsi="Verdana"/>
          <w:u w:val="single"/>
        </w:rPr>
        <w:t>acilitated modules</w:t>
      </w:r>
      <w:r w:rsidR="00AF58D0" w:rsidRPr="009C6E19">
        <w:rPr>
          <w:rFonts w:ascii="Verdana" w:hAnsi="Verdana"/>
          <w:u w:val="single"/>
        </w:rPr>
        <w:t xml:space="preserve"> [relevant </w:t>
      </w:r>
      <w:r w:rsidR="00741A88" w:rsidRPr="009C6E19">
        <w:rPr>
          <w:rFonts w:ascii="Verdana" w:hAnsi="Verdana"/>
          <w:u w:val="single"/>
        </w:rPr>
        <w:t xml:space="preserve">only </w:t>
      </w:r>
      <w:r w:rsidR="00AF58D0" w:rsidRPr="009C6E19">
        <w:rPr>
          <w:rFonts w:ascii="Verdana" w:hAnsi="Verdana"/>
          <w:u w:val="single"/>
        </w:rPr>
        <w:t>to students studying for a Doctor of Business Administration</w:t>
      </w:r>
      <w:r w:rsidR="00741A88" w:rsidRPr="009C6E19">
        <w:rPr>
          <w:rFonts w:ascii="Verdana" w:hAnsi="Verdana"/>
          <w:u w:val="single"/>
        </w:rPr>
        <w:t xml:space="preserve"> (DBA)</w:t>
      </w:r>
      <w:r w:rsidR="00AF58D0" w:rsidRPr="009C6E19">
        <w:rPr>
          <w:rFonts w:ascii="Verdana" w:hAnsi="Verdana"/>
          <w:u w:val="single"/>
        </w:rPr>
        <w:t xml:space="preserve"> and a Doctor of Professional Practice</w:t>
      </w:r>
      <w:r w:rsidR="00741A88" w:rsidRPr="009C6E19">
        <w:rPr>
          <w:rFonts w:ascii="Verdana" w:hAnsi="Verdana"/>
          <w:u w:val="single"/>
        </w:rPr>
        <w:t xml:space="preserve"> (</w:t>
      </w:r>
      <w:proofErr w:type="spellStart"/>
      <w:r w:rsidR="00741A88" w:rsidRPr="009C6E19">
        <w:rPr>
          <w:rFonts w:ascii="Verdana" w:hAnsi="Verdana"/>
          <w:u w:val="single"/>
        </w:rPr>
        <w:t>DProfPrac</w:t>
      </w:r>
      <w:proofErr w:type="spellEnd"/>
      <w:r w:rsidR="00741A88" w:rsidRPr="009C6E19">
        <w:rPr>
          <w:rFonts w:ascii="Verdana" w:hAnsi="Verdana"/>
          <w:u w:val="single"/>
        </w:rPr>
        <w:t>)</w:t>
      </w:r>
      <w:r w:rsidR="00AF58D0" w:rsidRPr="009C6E19">
        <w:rPr>
          <w:rFonts w:ascii="Verdana" w:hAnsi="Verdana"/>
          <w:u w:val="single"/>
        </w:rPr>
        <w:t>]</w:t>
      </w:r>
      <w:r w:rsidR="00DC127D" w:rsidRPr="000331FD">
        <w:rPr>
          <w:rFonts w:ascii="Verdana" w:hAnsi="Verdana"/>
          <w:i/>
          <w:u w:val="single"/>
        </w:rPr>
        <w:t xml:space="preserve"> </w:t>
      </w:r>
    </w:p>
    <w:p w14:paraId="189634B2" w14:textId="77777777" w:rsidR="00DC127D" w:rsidRDefault="00DC127D" w:rsidP="00DC127D">
      <w:pPr>
        <w:spacing w:after="0"/>
        <w:rPr>
          <w:rFonts w:ascii="Verdana" w:hAnsi="Verdan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0"/>
        <w:gridCol w:w="2645"/>
        <w:gridCol w:w="5621"/>
      </w:tblGrid>
      <w:tr w:rsidR="006368D8" w14:paraId="3C3813C4" w14:textId="10537DDC" w:rsidTr="006368D8">
        <w:trPr>
          <w:tblHeader/>
        </w:trPr>
        <w:tc>
          <w:tcPr>
            <w:tcW w:w="416" w:type="pct"/>
          </w:tcPr>
          <w:p w14:paraId="55705D8A" w14:textId="77777777" w:rsidR="006368D8" w:rsidRPr="00221DD4" w:rsidRDefault="006368D8" w:rsidP="00713636">
            <w:pPr>
              <w:rPr>
                <w:rFonts w:ascii="Verdana" w:hAnsi="Verdana"/>
                <w:b/>
              </w:rPr>
            </w:pPr>
          </w:p>
        </w:tc>
        <w:tc>
          <w:tcPr>
            <w:tcW w:w="1467" w:type="pct"/>
          </w:tcPr>
          <w:p w14:paraId="52C15EE8" w14:textId="77777777" w:rsidR="006368D8" w:rsidRPr="00221DD4" w:rsidRDefault="006368D8" w:rsidP="00713636">
            <w:pPr>
              <w:rPr>
                <w:rFonts w:ascii="Verdana" w:hAnsi="Verdana"/>
                <w:b/>
              </w:rPr>
            </w:pPr>
            <w:r w:rsidRPr="00221DD4">
              <w:rPr>
                <w:rFonts w:ascii="Verdana" w:hAnsi="Verdana"/>
                <w:b/>
              </w:rPr>
              <w:t>Current regulation</w:t>
            </w:r>
            <w:r>
              <w:rPr>
                <w:rStyle w:val="FootnoteReference"/>
                <w:rFonts w:ascii="Verdana" w:hAnsi="Verdana"/>
                <w:b/>
              </w:rPr>
              <w:footnoteReference w:id="5"/>
            </w:r>
          </w:p>
        </w:tc>
        <w:tc>
          <w:tcPr>
            <w:tcW w:w="3117" w:type="pct"/>
          </w:tcPr>
          <w:p w14:paraId="2208871C" w14:textId="00ACF5CB" w:rsidR="006368D8" w:rsidRDefault="006368D8" w:rsidP="00A45F29">
            <w:pPr>
              <w:rPr>
                <w:rFonts w:ascii="Verdana" w:hAnsi="Verdana"/>
                <w:b/>
                <w:bCs/>
              </w:rPr>
            </w:pPr>
            <w:r w:rsidRPr="1EA863F9">
              <w:rPr>
                <w:rFonts w:ascii="Verdana" w:hAnsi="Verdana"/>
                <w:b/>
                <w:bCs/>
              </w:rPr>
              <w:t xml:space="preserve">Emergency Regulation </w:t>
            </w:r>
            <w:r>
              <w:rPr>
                <w:rFonts w:ascii="Verdana" w:hAnsi="Verdana"/>
                <w:b/>
                <w:bCs/>
              </w:rPr>
              <w:t>20/21</w:t>
            </w:r>
          </w:p>
          <w:p w14:paraId="49E39E2D" w14:textId="52F527E6" w:rsidR="006368D8" w:rsidRPr="1EA863F9" w:rsidRDefault="006368D8" w:rsidP="00713636">
            <w:pPr>
              <w:rPr>
                <w:rFonts w:ascii="Verdana" w:hAnsi="Verdana"/>
                <w:b/>
                <w:bCs/>
              </w:rPr>
            </w:pPr>
          </w:p>
        </w:tc>
      </w:tr>
      <w:tr w:rsidR="006368D8" w14:paraId="744C4E58" w14:textId="3614F9B5" w:rsidTr="006368D8">
        <w:tc>
          <w:tcPr>
            <w:tcW w:w="416" w:type="pct"/>
          </w:tcPr>
          <w:p w14:paraId="6BB7FB07" w14:textId="710745E9" w:rsidR="006368D8" w:rsidRDefault="006368D8" w:rsidP="00A45F2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</w:p>
        </w:tc>
        <w:tc>
          <w:tcPr>
            <w:tcW w:w="1467" w:type="pct"/>
          </w:tcPr>
          <w:p w14:paraId="0C263E4C" w14:textId="77777777" w:rsidR="006368D8" w:rsidRDefault="006368D8" w:rsidP="00A45F2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3.5.11</w:t>
            </w:r>
          </w:p>
          <w:p w14:paraId="32309BBD" w14:textId="77777777" w:rsidR="006368D8" w:rsidRDefault="006368D8" w:rsidP="00A45F2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(p38)</w:t>
            </w:r>
          </w:p>
          <w:p w14:paraId="0DD368FF" w14:textId="77777777" w:rsidR="006368D8" w:rsidRDefault="006368D8" w:rsidP="00A45F29">
            <w:pPr>
              <w:rPr>
                <w:rFonts w:ascii="Verdana" w:hAnsi="Verdana"/>
              </w:rPr>
            </w:pPr>
          </w:p>
          <w:p w14:paraId="026FAF1F" w14:textId="77777777" w:rsidR="006368D8" w:rsidRDefault="006368D8" w:rsidP="00A45F2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3.10.2-3.10.8</w:t>
            </w:r>
          </w:p>
          <w:p w14:paraId="119DD962" w14:textId="77777777" w:rsidR="006368D8" w:rsidRDefault="006368D8" w:rsidP="00A45F2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(p44-5)</w:t>
            </w:r>
          </w:p>
        </w:tc>
        <w:tc>
          <w:tcPr>
            <w:tcW w:w="3117" w:type="pct"/>
          </w:tcPr>
          <w:p w14:paraId="75E60251" w14:textId="77777777" w:rsidR="006368D8" w:rsidRDefault="006368D8" w:rsidP="006368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Revisions to the Mitigating Circumstances Policy to minimise the administrative burden on students. This might include some component of self-certification by students.</w:t>
            </w:r>
          </w:p>
          <w:p w14:paraId="13F3C37B" w14:textId="77777777" w:rsidR="006368D8" w:rsidRDefault="006368D8" w:rsidP="006368D8">
            <w:pPr>
              <w:rPr>
                <w:rFonts w:ascii="Verdana" w:hAnsi="Verdana"/>
              </w:rPr>
            </w:pPr>
          </w:p>
          <w:p w14:paraId="099F0873" w14:textId="77777777" w:rsidR="006368D8" w:rsidRDefault="006368D8" w:rsidP="006368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Incorporation of a new option into existing processes (Study Breaks, Restarts etc) that will allow students to identify that their request is being made because of Covid-19. This will enable the teams considering those requests to do so in a manner that takes the specific circumstances around Covid-19 into account.</w:t>
            </w:r>
          </w:p>
          <w:p w14:paraId="76108F09" w14:textId="678F0CAC" w:rsidR="006368D8" w:rsidRDefault="006368D8" w:rsidP="00A45F29">
            <w:pPr>
              <w:rPr>
                <w:rFonts w:ascii="Verdana" w:hAnsi="Verdana"/>
              </w:rPr>
            </w:pPr>
          </w:p>
        </w:tc>
      </w:tr>
      <w:tr w:rsidR="006368D8" w14:paraId="0357A308" w14:textId="22EDE740" w:rsidTr="006368D8">
        <w:tc>
          <w:tcPr>
            <w:tcW w:w="416" w:type="pct"/>
          </w:tcPr>
          <w:p w14:paraId="4C9B934E" w14:textId="0B0360D9" w:rsidR="006368D8" w:rsidRDefault="006368D8" w:rsidP="00A45F2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</w:t>
            </w:r>
          </w:p>
        </w:tc>
        <w:tc>
          <w:tcPr>
            <w:tcW w:w="1467" w:type="pct"/>
          </w:tcPr>
          <w:p w14:paraId="076EE3D7" w14:textId="77777777" w:rsidR="006368D8" w:rsidRDefault="006368D8" w:rsidP="00A45F2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3.7.2 </w:t>
            </w:r>
          </w:p>
          <w:p w14:paraId="4427740A" w14:textId="77777777" w:rsidR="006368D8" w:rsidRDefault="006368D8" w:rsidP="00A45F2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(p39)</w:t>
            </w:r>
          </w:p>
        </w:tc>
        <w:tc>
          <w:tcPr>
            <w:tcW w:w="3117" w:type="pct"/>
          </w:tcPr>
          <w:p w14:paraId="7B9059D5" w14:textId="77777777" w:rsidR="006368D8" w:rsidRDefault="006368D8" w:rsidP="00A45F2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Revisions to accumulated failure count to remove any credits failed in 2019/20</w:t>
            </w:r>
          </w:p>
          <w:p w14:paraId="115BA1B7" w14:textId="4512C159" w:rsidR="006368D8" w:rsidRPr="1EA863F9" w:rsidRDefault="006368D8" w:rsidP="00A45F29">
            <w:pPr>
              <w:rPr>
                <w:rFonts w:ascii="Verdana" w:hAnsi="Verdana"/>
              </w:rPr>
            </w:pPr>
          </w:p>
        </w:tc>
      </w:tr>
      <w:tr w:rsidR="006368D8" w14:paraId="795065B7" w14:textId="5B54213F" w:rsidTr="006368D8">
        <w:tc>
          <w:tcPr>
            <w:tcW w:w="416" w:type="pct"/>
          </w:tcPr>
          <w:p w14:paraId="54160A33" w14:textId="5C27A47D" w:rsidR="006368D8" w:rsidRDefault="006368D8" w:rsidP="00A45F2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</w:t>
            </w:r>
          </w:p>
        </w:tc>
        <w:tc>
          <w:tcPr>
            <w:tcW w:w="1467" w:type="pct"/>
          </w:tcPr>
          <w:p w14:paraId="6C922B61" w14:textId="77777777" w:rsidR="006368D8" w:rsidRDefault="006368D8" w:rsidP="00A45F2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3.10.9</w:t>
            </w:r>
          </w:p>
          <w:p w14:paraId="3E9714CF" w14:textId="77777777" w:rsidR="006368D8" w:rsidRDefault="006368D8" w:rsidP="00A45F2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(p45)</w:t>
            </w:r>
          </w:p>
        </w:tc>
        <w:tc>
          <w:tcPr>
            <w:tcW w:w="3117" w:type="pct"/>
          </w:tcPr>
          <w:p w14:paraId="18C16E6F" w14:textId="39CAE761" w:rsidR="006368D8" w:rsidRDefault="006368D8" w:rsidP="006368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Covid-19 study break category will continue to be used, where a study break is required because of the impact of Covid-19. This is subject to different rules from the standard study break category.</w:t>
            </w:r>
          </w:p>
          <w:p w14:paraId="6CC5BF7F" w14:textId="77777777" w:rsidR="006368D8" w:rsidRDefault="006368D8" w:rsidP="00A45F29">
            <w:pPr>
              <w:rPr>
                <w:rFonts w:ascii="Verdana" w:hAnsi="Verdana"/>
              </w:rPr>
            </w:pPr>
          </w:p>
        </w:tc>
      </w:tr>
      <w:bookmarkEnd w:id="3"/>
    </w:tbl>
    <w:p w14:paraId="74E7B24E" w14:textId="1B51BA60" w:rsidR="00D17637" w:rsidRPr="00192E57" w:rsidRDefault="00D17637" w:rsidP="00A45F29">
      <w:pPr>
        <w:spacing w:after="0"/>
        <w:rPr>
          <w:rFonts w:ascii="Verdana" w:hAnsi="Verdana"/>
        </w:rPr>
      </w:pPr>
    </w:p>
    <w:sectPr w:rsidR="00D17637" w:rsidRPr="00192E5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469E236" w16cex:dateUtc="2020-03-24T09:22:19.017Z"/>
  <w16cex:commentExtensible w16cex:durableId="1F904D57" w16cex:dateUtc="2020-03-24T09:23:56.002Z"/>
  <w16cex:commentExtensible w16cex:durableId="791EA687" w16cex:dateUtc="2020-03-24T09:27:00.936Z"/>
  <w16cex:commentExtensible w16cex:durableId="587F964B" w16cex:dateUtc="2020-03-24T09:27:19.481Z"/>
  <w16cex:commentExtensible w16cex:durableId="0B662582" w16cex:dateUtc="2020-03-24T09:27:49.959Z"/>
  <w16cex:commentExtensible w16cex:durableId="62789A9F" w16cex:dateUtc="2020-03-24T09:28:25.301Z"/>
  <w16cex:commentExtensible w16cex:durableId="37B5ABDB" w16cex:dateUtc="2020-03-24T09:28:44.616Z"/>
  <w16cex:commentExtensible w16cex:durableId="7CC4FA6F" w16cex:dateUtc="2020-03-24T09:29:11.614Z"/>
  <w16cex:commentExtensible w16cex:durableId="305BD3A4" w16cex:dateUtc="2020-03-24T09:30:04.918Z"/>
  <w16cex:commentExtensible w16cex:durableId="3F7C49B7" w16cex:dateUtc="2020-03-24T09:30:42.606Z"/>
  <w16cex:commentExtensible w16cex:durableId="6C8CDD53" w16cex:dateUtc="2020-03-24T09:31:18.594Z"/>
  <w16cex:commentExtensible w16cex:durableId="1FC4C946" w16cex:dateUtc="2020-03-24T09:32:06.436Z"/>
  <w16cex:commentExtensible w16cex:durableId="2D6D7871" w16cex:dateUtc="2020-03-26T08:28:45Z"/>
  <w16cex:commentExtensible w16cex:durableId="43D19C55" w16cex:dateUtc="2020-03-26T09:51:49.893Z"/>
  <w16cex:commentExtensible w16cex:durableId="4256077A" w16cex:dateUtc="2020-03-26T10:35:28.28Z"/>
  <w16cex:commentExtensible w16cex:durableId="4A54ED74" w16cex:dateUtc="2020-03-26T10:36:02Z"/>
  <w16cex:commentExtensible w16cex:durableId="297500D2" w16cex:dateUtc="2020-03-26T10:36:39.672Z"/>
  <w16cex:commentExtensible w16cex:durableId="31C4C412" w16cex:dateUtc="2020-03-26T10:37:11.701Z"/>
  <w16cex:commentExtensible w16cex:durableId="39DE3C8A" w16cex:dateUtc="2020-03-26T10:37:55.877Z"/>
  <w16cex:commentExtensible w16cex:durableId="28D927F1" w16cex:dateUtc="2020-03-26T10:38:37.184Z"/>
  <w16cex:commentExtensible w16cex:durableId="02C3BC41" w16cex:dateUtc="2020-03-26T10:45:21.183Z"/>
  <w16cex:commentExtensible w16cex:durableId="36BB9BC2" w16cex:dateUtc="2020-03-26T10:45:50.041Z"/>
  <w16cex:commentExtensible w16cex:durableId="40B5EA7E" w16cex:dateUtc="2020-03-26T10:46:30.574Z"/>
  <w16cex:commentExtensible w16cex:durableId="063E57C2" w16cex:dateUtc="2020-03-26T14:31:35.862Z"/>
  <w16cex:commentExtensible w16cex:durableId="55120528" w16cex:dateUtc="2020-03-26T14:43:06.187Z"/>
  <w16cex:commentExtensible w16cex:durableId="632E43A7" w16cex:dateUtc="2020-03-26T14:59:38.464Z"/>
  <w16cex:commentExtensible w16cex:durableId="38A21CAF" w16cex:dateUtc="2020-03-26T15:25:48.771Z"/>
  <w16cex:commentExtensible w16cex:durableId="3656796E" w16cex:dateUtc="2020-03-26T15:26:17.618Z"/>
  <w16cex:commentExtensible w16cex:durableId="21956246" w16cex:dateUtc="2020-03-26T15:26:43.189Z"/>
  <w16cex:commentExtensible w16cex:durableId="23BA8A14" w16cex:dateUtc="2020-03-26T15:27:08.637Z"/>
  <w16cex:commentExtensible w16cex:durableId="6410B3B0" w16cex:dateUtc="2020-03-26T15:27:35.553Z"/>
  <w16cex:commentExtensible w16cex:durableId="58DB31DC" w16cex:dateUtc="2020-03-26T16:10:27.25Z"/>
  <w16cex:commentExtensible w16cex:durableId="3C4C5035" w16cex:dateUtc="2020-03-26T16:11:29.844Z"/>
  <w16cex:commentExtensible w16cex:durableId="55B19C61" w16cex:dateUtc="2020-03-26T16:12:39.898Z"/>
  <w16cex:commentExtensible w16cex:durableId="6C5694F7" w16cex:dateUtc="2020-03-26T16:17:57.798Z"/>
  <w16cex:commentExtensible w16cex:durableId="730B2938" w16cex:dateUtc="2020-03-26T16:19:53.695Z"/>
  <w16cex:commentExtensible w16cex:durableId="3D1CEEFB" w16cex:dateUtc="2020-03-26T16:52:51.641Z"/>
  <w16cex:commentExtensible w16cex:durableId="0CB47D5E" w16cex:dateUtc="2020-03-26T16:57:49.677Z"/>
  <w16cex:commentExtensible w16cex:durableId="0048F97A" w16cex:dateUtc="2020-03-26T17:13:28.216Z"/>
  <w16cex:commentExtensible w16cex:durableId="1C66F3D8" w16cex:dateUtc="2020-03-27T08:52:28.414Z"/>
  <w16cex:commentExtensible w16cex:durableId="561E1D54" w16cex:dateUtc="2020-03-27T09:40:50.534Z"/>
  <w16cex:commentExtensible w16cex:durableId="329B76C8" w16cex:dateUtc="2020-03-27T09:47:52.151Z"/>
  <w16cex:commentExtensible w16cex:durableId="7537743E" w16cex:dateUtc="2020-03-27T09:50:24.28Z"/>
  <w16cex:commentExtensible w16cex:durableId="0A936BBB" w16cex:dateUtc="2020-03-27T16:05:19.409Z"/>
  <w16cex:commentExtensible w16cex:durableId="7AD6869B" w16cex:dateUtc="2020-03-27T16:07:27.59Z"/>
  <w16cex:commentExtensible w16cex:durableId="458D705E" w16cex:dateUtc="2020-03-27T16:09:25.471Z"/>
  <w16cex:commentExtensible w16cex:durableId="3550C213" w16cex:dateUtc="2020-06-01T10:14:38.404Z"/>
  <w16cex:commentExtensible w16cex:durableId="157E1AA7" w16cex:dateUtc="2020-06-01T11:20:47.468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BB1D8" w14:textId="77777777" w:rsidR="0076145F" w:rsidRDefault="0076145F" w:rsidP="008F5D42">
      <w:pPr>
        <w:spacing w:after="0" w:line="240" w:lineRule="auto"/>
      </w:pPr>
      <w:r>
        <w:separator/>
      </w:r>
    </w:p>
  </w:endnote>
  <w:endnote w:type="continuationSeparator" w:id="0">
    <w:p w14:paraId="7FEBCACF" w14:textId="77777777" w:rsidR="0076145F" w:rsidRDefault="0076145F" w:rsidP="008F5D42">
      <w:pPr>
        <w:spacing w:after="0" w:line="240" w:lineRule="auto"/>
      </w:pPr>
      <w:r>
        <w:continuationSeparator/>
      </w:r>
    </w:p>
  </w:endnote>
  <w:endnote w:type="continuationNotice" w:id="1">
    <w:p w14:paraId="3EED5737" w14:textId="77777777" w:rsidR="0076145F" w:rsidRDefault="007614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0E448" w14:textId="77777777" w:rsidR="008F5D42" w:rsidRDefault="008F5D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2D03D" w14:textId="77777777" w:rsidR="008F5D42" w:rsidRDefault="008F5D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42D82" w14:textId="77777777" w:rsidR="008F5D42" w:rsidRDefault="008F5D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3F97D" w14:textId="77777777" w:rsidR="0076145F" w:rsidRDefault="0076145F" w:rsidP="008F5D42">
      <w:pPr>
        <w:spacing w:after="0" w:line="240" w:lineRule="auto"/>
      </w:pPr>
      <w:r>
        <w:separator/>
      </w:r>
    </w:p>
  </w:footnote>
  <w:footnote w:type="continuationSeparator" w:id="0">
    <w:p w14:paraId="252BB702" w14:textId="77777777" w:rsidR="0076145F" w:rsidRDefault="0076145F" w:rsidP="008F5D42">
      <w:pPr>
        <w:spacing w:after="0" w:line="240" w:lineRule="auto"/>
      </w:pPr>
      <w:r>
        <w:continuationSeparator/>
      </w:r>
    </w:p>
  </w:footnote>
  <w:footnote w:type="continuationNotice" w:id="1">
    <w:p w14:paraId="5DCAAE13" w14:textId="77777777" w:rsidR="0076145F" w:rsidRDefault="0076145F">
      <w:pPr>
        <w:spacing w:after="0" w:line="240" w:lineRule="auto"/>
      </w:pPr>
    </w:p>
  </w:footnote>
  <w:footnote w:id="2">
    <w:p w14:paraId="28FFA1A4" w14:textId="6B781BE4" w:rsidR="002C1F38" w:rsidRPr="002C1F38" w:rsidRDefault="002C1F38">
      <w:pPr>
        <w:pStyle w:val="FootnoteText"/>
        <w:rPr>
          <w:rFonts w:ascii="Verdana" w:hAnsi="Verdana"/>
        </w:rPr>
      </w:pPr>
      <w:r w:rsidRPr="002C1F38">
        <w:rPr>
          <w:rStyle w:val="FootnoteReference"/>
          <w:rFonts w:ascii="Verdana" w:hAnsi="Verdana"/>
        </w:rPr>
        <w:footnoteRef/>
      </w:r>
      <w:r w:rsidRPr="002C1F38">
        <w:rPr>
          <w:rFonts w:ascii="Verdana" w:hAnsi="Verdana"/>
        </w:rPr>
        <w:t xml:space="preserve"> Guidance will be provided</w:t>
      </w:r>
      <w:r>
        <w:rPr>
          <w:rFonts w:ascii="Verdana" w:hAnsi="Verdana"/>
        </w:rPr>
        <w:t xml:space="preserve"> on how post-emergency retrieval should be managed, whilst noting that it will be subject-specific.</w:t>
      </w:r>
    </w:p>
  </w:footnote>
  <w:footnote w:id="3">
    <w:p w14:paraId="3FD40D7D" w14:textId="16D33A94" w:rsidR="006B2356" w:rsidRPr="006B2356" w:rsidRDefault="006B2356">
      <w:pPr>
        <w:pStyle w:val="FootnoteText"/>
        <w:rPr>
          <w:rFonts w:ascii="Verdana" w:hAnsi="Verdana"/>
        </w:rPr>
      </w:pPr>
      <w:r w:rsidRPr="006B2356">
        <w:rPr>
          <w:rStyle w:val="FootnoteReference"/>
          <w:rFonts w:ascii="Verdana" w:hAnsi="Verdana"/>
        </w:rPr>
        <w:footnoteRef/>
      </w:r>
      <w:r w:rsidRPr="006B2356">
        <w:rPr>
          <w:rFonts w:ascii="Verdana" w:hAnsi="Verdana"/>
        </w:rPr>
        <w:t xml:space="preserve"> There may be Supplementary Regulations </w:t>
      </w:r>
      <w:r>
        <w:rPr>
          <w:rFonts w:ascii="Verdana" w:hAnsi="Verdana"/>
        </w:rPr>
        <w:t>for certain programmes that take precedence over these new measures. Supplementary Regulations remain in force unless the PSRB has approved a temporary relaxation of those to reflect the circumstances created by Covid-19.  Any temporary relaxation of these will be documented.</w:t>
      </w:r>
    </w:p>
  </w:footnote>
  <w:footnote w:id="4">
    <w:p w14:paraId="7ABD4DB4" w14:textId="726CDC53" w:rsidR="006368D8" w:rsidRPr="00A01E32" w:rsidRDefault="006368D8">
      <w:pPr>
        <w:pStyle w:val="FootnoteText"/>
        <w:rPr>
          <w:rFonts w:ascii="Verdana" w:hAnsi="Verdana"/>
        </w:rPr>
      </w:pPr>
      <w:r w:rsidRPr="00A01E32">
        <w:rPr>
          <w:rStyle w:val="FootnoteReference"/>
          <w:rFonts w:ascii="Verdana" w:hAnsi="Verdana"/>
        </w:rPr>
        <w:footnoteRef/>
      </w:r>
      <w:r w:rsidRPr="00A01E32">
        <w:rPr>
          <w:rFonts w:ascii="Verdana" w:hAnsi="Verdana"/>
        </w:rPr>
        <w:t xml:space="preserve"> References are based on the Academic and Supplementary Regulations 20</w:t>
      </w:r>
      <w:r>
        <w:rPr>
          <w:rFonts w:ascii="Verdana" w:hAnsi="Verdana"/>
        </w:rPr>
        <w:t>20-21</w:t>
      </w:r>
      <w:r w:rsidRPr="00A01E32">
        <w:rPr>
          <w:rFonts w:ascii="Verdana" w:hAnsi="Verdana"/>
        </w:rPr>
        <w:t>.  References may differ for the Academic and Supplementary Regulations in place for other cohorts.</w:t>
      </w:r>
    </w:p>
  </w:footnote>
  <w:footnote w:id="5">
    <w:p w14:paraId="5D757469" w14:textId="7035ECF2" w:rsidR="006368D8" w:rsidRPr="00A01E32" w:rsidRDefault="006368D8" w:rsidP="00DC127D">
      <w:pPr>
        <w:pStyle w:val="FootnoteText"/>
        <w:rPr>
          <w:rFonts w:ascii="Verdana" w:hAnsi="Verdana"/>
        </w:rPr>
      </w:pPr>
      <w:r w:rsidRPr="00A01E32">
        <w:rPr>
          <w:rStyle w:val="FootnoteReference"/>
          <w:rFonts w:ascii="Verdana" w:hAnsi="Verdana"/>
        </w:rPr>
        <w:footnoteRef/>
      </w:r>
      <w:r w:rsidRPr="00A01E32">
        <w:rPr>
          <w:rFonts w:ascii="Verdana" w:hAnsi="Verdana"/>
        </w:rPr>
        <w:t xml:space="preserve"> References are based on the Academic and Supplementary Regulations 20</w:t>
      </w:r>
      <w:r>
        <w:rPr>
          <w:rFonts w:ascii="Verdana" w:hAnsi="Verdana"/>
        </w:rPr>
        <w:t>20-21</w:t>
      </w:r>
      <w:r w:rsidRPr="00A01E32">
        <w:rPr>
          <w:rFonts w:ascii="Verdana" w:hAnsi="Verdana"/>
        </w:rPr>
        <w:t>.  References may differ for the Academic and Supplementary Regulations in place for other cohorts.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EB543" w14:textId="77777777" w:rsidR="008F5D42" w:rsidRDefault="008F5D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579A2" w14:textId="2F32833C" w:rsidR="008F5D42" w:rsidRDefault="008F5D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6774D" w14:textId="77777777" w:rsidR="008F5D42" w:rsidRDefault="008F5D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374B"/>
    <w:multiLevelType w:val="hybridMultilevel"/>
    <w:tmpl w:val="8730AE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E56C44"/>
    <w:multiLevelType w:val="hybridMultilevel"/>
    <w:tmpl w:val="271CD7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D58CB"/>
    <w:multiLevelType w:val="hybridMultilevel"/>
    <w:tmpl w:val="C6623AAE"/>
    <w:lvl w:ilvl="0" w:tplc="954E5F6A">
      <w:start w:val="2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EB65D6"/>
    <w:multiLevelType w:val="hybridMultilevel"/>
    <w:tmpl w:val="85BCEF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0D5567"/>
    <w:multiLevelType w:val="hybridMultilevel"/>
    <w:tmpl w:val="F6DAC2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57"/>
    <w:rsid w:val="00003568"/>
    <w:rsid w:val="00023627"/>
    <w:rsid w:val="000331FD"/>
    <w:rsid w:val="00040E07"/>
    <w:rsid w:val="00124954"/>
    <w:rsid w:val="001544DA"/>
    <w:rsid w:val="00170DF4"/>
    <w:rsid w:val="00185564"/>
    <w:rsid w:val="00187309"/>
    <w:rsid w:val="00192E57"/>
    <w:rsid w:val="0019765E"/>
    <w:rsid w:val="00200151"/>
    <w:rsid w:val="00221DD4"/>
    <w:rsid w:val="00244B31"/>
    <w:rsid w:val="0027748F"/>
    <w:rsid w:val="00277D6C"/>
    <w:rsid w:val="002C1F38"/>
    <w:rsid w:val="002D02D7"/>
    <w:rsid w:val="002E4085"/>
    <w:rsid w:val="002F743E"/>
    <w:rsid w:val="003551B0"/>
    <w:rsid w:val="003E3371"/>
    <w:rsid w:val="00435779"/>
    <w:rsid w:val="00446490"/>
    <w:rsid w:val="004F1CFB"/>
    <w:rsid w:val="005112D6"/>
    <w:rsid w:val="00515AE2"/>
    <w:rsid w:val="00577670"/>
    <w:rsid w:val="005D6663"/>
    <w:rsid w:val="00611B04"/>
    <w:rsid w:val="006368D8"/>
    <w:rsid w:val="00654FAD"/>
    <w:rsid w:val="00680AD9"/>
    <w:rsid w:val="00697C60"/>
    <w:rsid w:val="006B2356"/>
    <w:rsid w:val="006B4561"/>
    <w:rsid w:val="00741A88"/>
    <w:rsid w:val="00751D60"/>
    <w:rsid w:val="0076145F"/>
    <w:rsid w:val="007D643F"/>
    <w:rsid w:val="007F0BF0"/>
    <w:rsid w:val="0081782A"/>
    <w:rsid w:val="00823DC3"/>
    <w:rsid w:val="008320EE"/>
    <w:rsid w:val="008407BE"/>
    <w:rsid w:val="00876A6C"/>
    <w:rsid w:val="008E4329"/>
    <w:rsid w:val="008F5D42"/>
    <w:rsid w:val="00915E7A"/>
    <w:rsid w:val="009255BE"/>
    <w:rsid w:val="009C6E19"/>
    <w:rsid w:val="009E1810"/>
    <w:rsid w:val="00A0199B"/>
    <w:rsid w:val="00A01E32"/>
    <w:rsid w:val="00A251C3"/>
    <w:rsid w:val="00A45F29"/>
    <w:rsid w:val="00A83122"/>
    <w:rsid w:val="00AB7DAD"/>
    <w:rsid w:val="00AD3D36"/>
    <w:rsid w:val="00AF1027"/>
    <w:rsid w:val="00AF58D0"/>
    <w:rsid w:val="00B47809"/>
    <w:rsid w:val="00C33832"/>
    <w:rsid w:val="00C45C06"/>
    <w:rsid w:val="00C525AE"/>
    <w:rsid w:val="00CA7843"/>
    <w:rsid w:val="00CB3E74"/>
    <w:rsid w:val="00CD4957"/>
    <w:rsid w:val="00CD765F"/>
    <w:rsid w:val="00D17637"/>
    <w:rsid w:val="00D225ED"/>
    <w:rsid w:val="00D274B7"/>
    <w:rsid w:val="00D50285"/>
    <w:rsid w:val="00D91C95"/>
    <w:rsid w:val="00DC127D"/>
    <w:rsid w:val="00DF4EB5"/>
    <w:rsid w:val="00E90F98"/>
    <w:rsid w:val="00EF3135"/>
    <w:rsid w:val="00F140CB"/>
    <w:rsid w:val="00F2155B"/>
    <w:rsid w:val="00F45C03"/>
    <w:rsid w:val="00F46030"/>
    <w:rsid w:val="00F9015D"/>
    <w:rsid w:val="00FB1A1B"/>
    <w:rsid w:val="00FC08ED"/>
    <w:rsid w:val="00FC11D4"/>
    <w:rsid w:val="00FC3B99"/>
    <w:rsid w:val="00FE0353"/>
    <w:rsid w:val="00FE32DF"/>
    <w:rsid w:val="01A0DCA6"/>
    <w:rsid w:val="03F7C98D"/>
    <w:rsid w:val="0A18D2E9"/>
    <w:rsid w:val="0A60F375"/>
    <w:rsid w:val="0B6AA19C"/>
    <w:rsid w:val="0BD5B471"/>
    <w:rsid w:val="0CEFD84C"/>
    <w:rsid w:val="0E6DFBC9"/>
    <w:rsid w:val="0EC88E67"/>
    <w:rsid w:val="100622A0"/>
    <w:rsid w:val="11342B15"/>
    <w:rsid w:val="1649E20C"/>
    <w:rsid w:val="16C0400C"/>
    <w:rsid w:val="172D200A"/>
    <w:rsid w:val="17F61863"/>
    <w:rsid w:val="19338DC0"/>
    <w:rsid w:val="1990B13E"/>
    <w:rsid w:val="19C69E9D"/>
    <w:rsid w:val="1D8C05CF"/>
    <w:rsid w:val="1EA863F9"/>
    <w:rsid w:val="1F62A8B9"/>
    <w:rsid w:val="2320D520"/>
    <w:rsid w:val="286AB32A"/>
    <w:rsid w:val="29906CC6"/>
    <w:rsid w:val="2A65CA7B"/>
    <w:rsid w:val="2A78D7A4"/>
    <w:rsid w:val="2AAA9907"/>
    <w:rsid w:val="2AFC1C7B"/>
    <w:rsid w:val="2C9DC9D3"/>
    <w:rsid w:val="2E3F81D6"/>
    <w:rsid w:val="2F1A1475"/>
    <w:rsid w:val="32227662"/>
    <w:rsid w:val="35984C7D"/>
    <w:rsid w:val="36CD3B22"/>
    <w:rsid w:val="38EA348B"/>
    <w:rsid w:val="3CD4DF29"/>
    <w:rsid w:val="3DE205D8"/>
    <w:rsid w:val="409F8E2A"/>
    <w:rsid w:val="480ECB1F"/>
    <w:rsid w:val="484EE643"/>
    <w:rsid w:val="48EAA3FC"/>
    <w:rsid w:val="49CAE4A6"/>
    <w:rsid w:val="4A33B031"/>
    <w:rsid w:val="4A7FBFAC"/>
    <w:rsid w:val="4B185CC8"/>
    <w:rsid w:val="4F0A91CF"/>
    <w:rsid w:val="4F2E9FEC"/>
    <w:rsid w:val="51AA34D6"/>
    <w:rsid w:val="52A3F0B9"/>
    <w:rsid w:val="52E4DC61"/>
    <w:rsid w:val="54C6779A"/>
    <w:rsid w:val="55F873C2"/>
    <w:rsid w:val="581BBBE3"/>
    <w:rsid w:val="58C3A2C3"/>
    <w:rsid w:val="5B32857A"/>
    <w:rsid w:val="5DAED14D"/>
    <w:rsid w:val="5DDFEE9E"/>
    <w:rsid w:val="62C836A3"/>
    <w:rsid w:val="64EDF57C"/>
    <w:rsid w:val="6922A1B2"/>
    <w:rsid w:val="6A006081"/>
    <w:rsid w:val="6D90E9BA"/>
    <w:rsid w:val="723D2A51"/>
    <w:rsid w:val="7387EDF6"/>
    <w:rsid w:val="7792BC7B"/>
    <w:rsid w:val="77DBB2CD"/>
    <w:rsid w:val="78957A1A"/>
    <w:rsid w:val="7C9AA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A66ABCC"/>
  <w15:chartTrackingRefBased/>
  <w15:docId w15:val="{E3067B61-5256-4FC8-988B-7F49CB17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4"/>
    <w:pPr>
      <w:ind w:left="720"/>
      <w:contextualSpacing/>
    </w:pPr>
  </w:style>
  <w:style w:type="table" w:styleId="TableGrid">
    <w:name w:val="Table Grid"/>
    <w:basedOn w:val="TableNormal"/>
    <w:uiPriority w:val="39"/>
    <w:rsid w:val="00221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5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D42"/>
  </w:style>
  <w:style w:type="paragraph" w:styleId="Footer">
    <w:name w:val="footer"/>
    <w:basedOn w:val="Normal"/>
    <w:link w:val="FooterChar"/>
    <w:uiPriority w:val="99"/>
    <w:unhideWhenUsed/>
    <w:rsid w:val="008F5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D42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6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D60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20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20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20E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45C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5C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orthampton.ac.uk/wp-content/uploads/2021/01/emergency-regulations-2020-21-revised-january-2021.pdf" TargetMode="External"/><Relationship Id="rId17" Type="http://schemas.openxmlformats.org/officeDocument/2006/relationships/header" Target="header3.xml"/><Relationship Id="Rd1177b859592472e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F7E17A40CA3A4490E9840D1665B738" ma:contentTypeVersion="12" ma:contentTypeDescription="Create a new document." ma:contentTypeScope="" ma:versionID="4cc7c5c28cdc826532f555d7a1ce0a07">
  <xsd:schema xmlns:xsd="http://www.w3.org/2001/XMLSchema" xmlns:xs="http://www.w3.org/2001/XMLSchema" xmlns:p="http://schemas.microsoft.com/office/2006/metadata/properties" xmlns:ns2="9a1946db-5818-4171-92b3-738222f6c2b2" targetNamespace="http://schemas.microsoft.com/office/2006/metadata/properties" ma:root="true" ma:fieldsID="73ed6288e37d777ab9f249ee13906f80" ns2:_="">
    <xsd:import namespace="9a1946db-5818-4171-92b3-738222f6c2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C_GUID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946db-5818-4171-92b3-738222f6c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_GUID" ma:index="10" nillable="true" ma:displayName="DOC_GUID" ma:internalName="DOC_GUID">
      <xsd:simpleType>
        <xsd:restriction base="dms:Text">
          <xsd:maxLength value="255"/>
        </xsd:restriction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GUID xmlns="9a1946db-5818-4171-92b3-738222f6c2b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ABFC4-BCF9-46C8-A31C-A4932364C1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8A4E9B-D58A-46CD-B67C-951AEE1AEC13}"/>
</file>

<file path=customXml/itemProps3.xml><?xml version="1.0" encoding="utf-8"?>
<ds:datastoreItem xmlns:ds="http://schemas.openxmlformats.org/officeDocument/2006/customXml" ds:itemID="{3940F1AA-DDF9-4ACF-AB02-4EC1C9980F4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cf779a0d-ab3b-4991-9473-b645fefa287d"/>
    <ds:schemaRef ds:uri="20e0a6f6-8cfc-49d5-91d8-aa63ee79514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03599E6-D6A5-4214-A159-51B127AA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Kendon</dc:creator>
  <cp:keywords/>
  <dc:description/>
  <cp:lastModifiedBy>Kathryn Kendon</cp:lastModifiedBy>
  <cp:revision>6</cp:revision>
  <dcterms:created xsi:type="dcterms:W3CDTF">2020-06-23T21:05:00Z</dcterms:created>
  <dcterms:modified xsi:type="dcterms:W3CDTF">2021-01-21T12:13:00Z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0x01010077F7E17A40CA3A4490E9840D1665B738</vt:lpwstr>
  </property>
  <property fmtid="{D5CDD505-2E9C-101B-9397-08002B2CF9AE}" pid="3" name="Order">
    <vt:r8>11000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</Properties>
</file>